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106B" w14:textId="77777777" w:rsidR="000762AF" w:rsidRPr="00172571" w:rsidRDefault="000762AF" w:rsidP="000762A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82431550"/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9"/>
        <w:gridCol w:w="1204"/>
        <w:gridCol w:w="812"/>
        <w:gridCol w:w="1885"/>
        <w:gridCol w:w="2152"/>
        <w:gridCol w:w="133"/>
        <w:gridCol w:w="809"/>
        <w:gridCol w:w="807"/>
      </w:tblGrid>
      <w:tr w:rsidR="000762AF" w:rsidRPr="00172571" w14:paraId="0F402440" w14:textId="77777777" w:rsidTr="00EF4F5A">
        <w:tc>
          <w:tcPr>
            <w:tcW w:w="5000" w:type="pct"/>
            <w:gridSpan w:val="8"/>
            <w:shd w:val="clear" w:color="auto" w:fill="B2A1C7"/>
          </w:tcPr>
          <w:p w14:paraId="220AB14A" w14:textId="77777777" w:rsidR="000762AF" w:rsidRPr="00172571" w:rsidRDefault="000762AF" w:rsidP="00EF4F5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1" w:name="_Hlk77437923"/>
            <w:r w:rsidRPr="0017257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Principali informazioni sull’insegnamento</w:t>
            </w:r>
          </w:p>
        </w:tc>
      </w:tr>
      <w:tr w:rsidR="000762AF" w:rsidRPr="00172571" w14:paraId="0A9E1847" w14:textId="77777777" w:rsidTr="00EF4F5A">
        <w:tc>
          <w:tcPr>
            <w:tcW w:w="1434" w:type="pct"/>
            <w:gridSpan w:val="2"/>
          </w:tcPr>
          <w:p w14:paraId="2ABB5FDA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Denominazione dell’insegnamento </w:t>
            </w:r>
          </w:p>
        </w:tc>
        <w:tc>
          <w:tcPr>
            <w:tcW w:w="3566" w:type="pct"/>
            <w:gridSpan w:val="6"/>
          </w:tcPr>
          <w:p w14:paraId="7158F54D" w14:textId="1C30A721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Sociologia </w:t>
            </w: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dei processi culturali</w:t>
            </w:r>
          </w:p>
          <w:p w14:paraId="7CC77345" w14:textId="77777777" w:rsidR="000762AF" w:rsidRPr="00172571" w:rsidRDefault="000762AF" w:rsidP="00EF4F5A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Sociology</w:t>
            </w:r>
            <w:proofErr w:type="spellEnd"/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Cultures</w:t>
            </w:r>
            <w:proofErr w:type="spellEnd"/>
          </w:p>
        </w:tc>
      </w:tr>
      <w:tr w:rsidR="000762AF" w:rsidRPr="00172571" w14:paraId="283614C5" w14:textId="77777777" w:rsidTr="00EF4F5A">
        <w:tc>
          <w:tcPr>
            <w:tcW w:w="1434" w:type="pct"/>
            <w:gridSpan w:val="2"/>
          </w:tcPr>
          <w:p w14:paraId="6E161928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Corso di studio</w:t>
            </w:r>
          </w:p>
        </w:tc>
        <w:tc>
          <w:tcPr>
            <w:tcW w:w="3566" w:type="pct"/>
            <w:gridSpan w:val="6"/>
          </w:tcPr>
          <w:p w14:paraId="60D00AAA" w14:textId="1E09A844" w:rsidR="000762AF" w:rsidRPr="00172571" w:rsidRDefault="000762AF" w:rsidP="00EF4F5A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Scienze politiche SP</w:t>
            </w:r>
          </w:p>
        </w:tc>
      </w:tr>
      <w:tr w:rsidR="000762AF" w:rsidRPr="00172571" w14:paraId="3C37E3F1" w14:textId="77777777" w:rsidTr="00EF4F5A">
        <w:tc>
          <w:tcPr>
            <w:tcW w:w="1434" w:type="pct"/>
            <w:gridSpan w:val="2"/>
          </w:tcPr>
          <w:p w14:paraId="3DC78A74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Anno di corso</w:t>
            </w:r>
          </w:p>
        </w:tc>
        <w:tc>
          <w:tcPr>
            <w:tcW w:w="3566" w:type="pct"/>
            <w:gridSpan w:val="6"/>
          </w:tcPr>
          <w:p w14:paraId="2B176985" w14:textId="73890AD2" w:rsidR="000762AF" w:rsidRPr="00172571" w:rsidRDefault="000762AF" w:rsidP="00EF4F5A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II</w:t>
            </w:r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</w:t>
            </w:r>
          </w:p>
        </w:tc>
      </w:tr>
      <w:tr w:rsidR="000762AF" w:rsidRPr="00172571" w14:paraId="76D99470" w14:textId="77777777" w:rsidTr="00EF4F5A">
        <w:tc>
          <w:tcPr>
            <w:tcW w:w="4127" w:type="pct"/>
            <w:gridSpan w:val="6"/>
          </w:tcPr>
          <w:p w14:paraId="4730591C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Crediti formativi universitari (CFU) / </w:t>
            </w:r>
            <w:proofErr w:type="spellStart"/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European</w:t>
            </w:r>
            <w:proofErr w:type="spellEnd"/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Credit Transfer and </w:t>
            </w:r>
            <w:proofErr w:type="spellStart"/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Accumulation</w:t>
            </w:r>
            <w:proofErr w:type="spellEnd"/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System (ECTS): </w:t>
            </w:r>
          </w:p>
        </w:tc>
        <w:tc>
          <w:tcPr>
            <w:tcW w:w="873" w:type="pct"/>
            <w:gridSpan w:val="2"/>
          </w:tcPr>
          <w:p w14:paraId="24D768BB" w14:textId="2736CB61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</w:tr>
      <w:tr w:rsidR="000762AF" w:rsidRPr="00172571" w14:paraId="70C95E27" w14:textId="77777777" w:rsidTr="00EF4F5A">
        <w:tc>
          <w:tcPr>
            <w:tcW w:w="1434" w:type="pct"/>
            <w:gridSpan w:val="2"/>
          </w:tcPr>
          <w:p w14:paraId="142089F8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SSD</w:t>
            </w:r>
          </w:p>
        </w:tc>
        <w:tc>
          <w:tcPr>
            <w:tcW w:w="3566" w:type="pct"/>
            <w:gridSpan w:val="6"/>
          </w:tcPr>
          <w:p w14:paraId="3F59BD8B" w14:textId="77777777" w:rsidR="000762AF" w:rsidRPr="00172571" w:rsidRDefault="000762AF" w:rsidP="00EF4F5A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SPS/08</w:t>
            </w:r>
          </w:p>
        </w:tc>
      </w:tr>
      <w:tr w:rsidR="000762AF" w:rsidRPr="00172571" w14:paraId="065C82AE" w14:textId="77777777" w:rsidTr="00EF4F5A">
        <w:tc>
          <w:tcPr>
            <w:tcW w:w="1434" w:type="pct"/>
            <w:gridSpan w:val="2"/>
          </w:tcPr>
          <w:p w14:paraId="782DE424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Lingua di erogazione</w:t>
            </w:r>
          </w:p>
        </w:tc>
        <w:tc>
          <w:tcPr>
            <w:tcW w:w="3566" w:type="pct"/>
            <w:gridSpan w:val="6"/>
          </w:tcPr>
          <w:p w14:paraId="13964187" w14:textId="77777777" w:rsidR="000762AF" w:rsidRPr="00172571" w:rsidRDefault="000762AF" w:rsidP="00EF4F5A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Italiano</w:t>
            </w:r>
          </w:p>
        </w:tc>
      </w:tr>
      <w:tr w:rsidR="000762AF" w:rsidRPr="00172571" w14:paraId="786DE545" w14:textId="77777777" w:rsidTr="00EF4F5A">
        <w:tc>
          <w:tcPr>
            <w:tcW w:w="1434" w:type="pct"/>
            <w:gridSpan w:val="2"/>
          </w:tcPr>
          <w:p w14:paraId="260E0E40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Periodo di erogazione</w:t>
            </w:r>
          </w:p>
        </w:tc>
        <w:tc>
          <w:tcPr>
            <w:tcW w:w="3566" w:type="pct"/>
            <w:gridSpan w:val="6"/>
          </w:tcPr>
          <w:p w14:paraId="04457A35" w14:textId="0427951B" w:rsidR="000762AF" w:rsidRPr="00172571" w:rsidRDefault="000762AF" w:rsidP="00EF4F5A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</w:t>
            </w:r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</w:t>
            </w:r>
            <w:proofErr w:type="gramEnd"/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semestre (</w:t>
            </w:r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febbraio-maggio 2022</w:t>
            </w:r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762AF" w:rsidRPr="00172571" w14:paraId="38C405E1" w14:textId="77777777" w:rsidTr="00EF4F5A">
        <w:tc>
          <w:tcPr>
            <w:tcW w:w="1434" w:type="pct"/>
            <w:gridSpan w:val="2"/>
          </w:tcPr>
          <w:p w14:paraId="2B0173BD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Obbligo di frequenza</w:t>
            </w:r>
          </w:p>
        </w:tc>
        <w:tc>
          <w:tcPr>
            <w:tcW w:w="3566" w:type="pct"/>
            <w:gridSpan w:val="6"/>
          </w:tcPr>
          <w:p w14:paraId="71C1F43F" w14:textId="77777777" w:rsidR="000762AF" w:rsidRPr="00172571" w:rsidRDefault="000762AF" w:rsidP="00EF4F5A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Consigliata</w:t>
            </w:r>
          </w:p>
        </w:tc>
      </w:tr>
      <w:tr w:rsidR="000762AF" w:rsidRPr="00172571" w14:paraId="7AED03E2" w14:textId="77777777" w:rsidTr="00EF4F5A">
        <w:tc>
          <w:tcPr>
            <w:tcW w:w="1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25F48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E1F20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762AF" w:rsidRPr="00172571" w14:paraId="379A6836" w14:textId="77777777" w:rsidTr="00EF4F5A">
        <w:trPr>
          <w:trHeight w:val="64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71BAFF91" w14:textId="77777777" w:rsidR="000762AF" w:rsidRPr="00172571" w:rsidRDefault="000762AF" w:rsidP="00EF4F5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Docente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</w:tcBorders>
          </w:tcPr>
          <w:p w14:paraId="2DEB514B" w14:textId="77777777" w:rsidR="000762AF" w:rsidRPr="00172571" w:rsidRDefault="000762AF" w:rsidP="00EF4F5A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0762AF" w:rsidRPr="00172571" w14:paraId="3EA0749A" w14:textId="77777777" w:rsidTr="00EF4F5A">
        <w:tc>
          <w:tcPr>
            <w:tcW w:w="1434" w:type="pct"/>
            <w:gridSpan w:val="2"/>
            <w:tcBorders>
              <w:bottom w:val="single" w:sz="4" w:space="0" w:color="auto"/>
            </w:tcBorders>
          </w:tcPr>
          <w:p w14:paraId="399CC1C6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Nome e cognome</w:t>
            </w:r>
          </w:p>
        </w:tc>
        <w:tc>
          <w:tcPr>
            <w:tcW w:w="3566" w:type="pct"/>
            <w:gridSpan w:val="6"/>
            <w:tcBorders>
              <w:bottom w:val="single" w:sz="4" w:space="0" w:color="auto"/>
            </w:tcBorders>
          </w:tcPr>
          <w:p w14:paraId="4DC2A0D2" w14:textId="77777777" w:rsidR="000762AF" w:rsidRPr="00172571" w:rsidRDefault="000762AF" w:rsidP="00EF4F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Patrizia Calefato</w:t>
            </w:r>
          </w:p>
        </w:tc>
      </w:tr>
      <w:tr w:rsidR="000762AF" w:rsidRPr="00172571" w14:paraId="728294EF" w14:textId="77777777" w:rsidTr="00EF4F5A">
        <w:tc>
          <w:tcPr>
            <w:tcW w:w="1434" w:type="pct"/>
            <w:gridSpan w:val="2"/>
            <w:tcBorders>
              <w:bottom w:val="single" w:sz="4" w:space="0" w:color="auto"/>
            </w:tcBorders>
          </w:tcPr>
          <w:p w14:paraId="2CA60965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Indirizzo mail</w:t>
            </w:r>
          </w:p>
        </w:tc>
        <w:tc>
          <w:tcPr>
            <w:tcW w:w="3566" w:type="pct"/>
            <w:gridSpan w:val="6"/>
            <w:tcBorders>
              <w:bottom w:val="single" w:sz="4" w:space="0" w:color="auto"/>
            </w:tcBorders>
          </w:tcPr>
          <w:p w14:paraId="78C32C2C" w14:textId="77777777" w:rsidR="000762AF" w:rsidRPr="00172571" w:rsidRDefault="000762AF" w:rsidP="00EF4F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patrizia.calefato@uniba.it</w:t>
            </w:r>
          </w:p>
        </w:tc>
      </w:tr>
      <w:tr w:rsidR="000762AF" w:rsidRPr="00172571" w14:paraId="09540C55" w14:textId="77777777" w:rsidTr="00EF4F5A">
        <w:tc>
          <w:tcPr>
            <w:tcW w:w="1434" w:type="pct"/>
            <w:gridSpan w:val="2"/>
            <w:tcBorders>
              <w:bottom w:val="single" w:sz="4" w:space="0" w:color="auto"/>
            </w:tcBorders>
          </w:tcPr>
          <w:p w14:paraId="169885E5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Telefono</w:t>
            </w:r>
          </w:p>
        </w:tc>
        <w:tc>
          <w:tcPr>
            <w:tcW w:w="3566" w:type="pct"/>
            <w:gridSpan w:val="6"/>
            <w:tcBorders>
              <w:bottom w:val="single" w:sz="4" w:space="0" w:color="auto"/>
            </w:tcBorders>
          </w:tcPr>
          <w:p w14:paraId="74555969" w14:textId="77777777" w:rsidR="000762AF" w:rsidRPr="00172571" w:rsidRDefault="000762AF" w:rsidP="00EF4F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762AF" w:rsidRPr="00172571" w14:paraId="4DC11CE7" w14:textId="77777777" w:rsidTr="00EF4F5A">
        <w:tc>
          <w:tcPr>
            <w:tcW w:w="1434" w:type="pct"/>
            <w:gridSpan w:val="2"/>
            <w:tcBorders>
              <w:bottom w:val="single" w:sz="4" w:space="0" w:color="auto"/>
            </w:tcBorders>
          </w:tcPr>
          <w:p w14:paraId="7869BDAA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Sede</w:t>
            </w:r>
          </w:p>
        </w:tc>
        <w:tc>
          <w:tcPr>
            <w:tcW w:w="3566" w:type="pct"/>
            <w:gridSpan w:val="6"/>
            <w:tcBorders>
              <w:bottom w:val="single" w:sz="4" w:space="0" w:color="auto"/>
            </w:tcBorders>
          </w:tcPr>
          <w:p w14:paraId="0B9E2A15" w14:textId="77777777" w:rsidR="000762AF" w:rsidRPr="00172571" w:rsidRDefault="000762AF" w:rsidP="00EF4F5A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Dipartimento di Scienze politiche, Corso Italia 23 - Bari</w:t>
            </w:r>
          </w:p>
        </w:tc>
      </w:tr>
      <w:tr w:rsidR="000762AF" w:rsidRPr="00172571" w14:paraId="22885FFF" w14:textId="77777777" w:rsidTr="00EF4F5A">
        <w:tc>
          <w:tcPr>
            <w:tcW w:w="1434" w:type="pct"/>
            <w:gridSpan w:val="2"/>
            <w:tcBorders>
              <w:bottom w:val="single" w:sz="4" w:space="0" w:color="auto"/>
            </w:tcBorders>
          </w:tcPr>
          <w:p w14:paraId="047EA961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Sede virtuale</w:t>
            </w:r>
          </w:p>
        </w:tc>
        <w:tc>
          <w:tcPr>
            <w:tcW w:w="3566" w:type="pct"/>
            <w:gridSpan w:val="6"/>
            <w:tcBorders>
              <w:bottom w:val="single" w:sz="4" w:space="0" w:color="auto"/>
            </w:tcBorders>
          </w:tcPr>
          <w:p w14:paraId="0A34B174" w14:textId="77777777" w:rsidR="000762AF" w:rsidRPr="00172571" w:rsidRDefault="000762AF" w:rsidP="00EF4F5A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0762AF" w:rsidRPr="00172571" w14:paraId="4CADA197" w14:textId="77777777" w:rsidTr="00EF4F5A">
        <w:tc>
          <w:tcPr>
            <w:tcW w:w="1434" w:type="pct"/>
            <w:gridSpan w:val="2"/>
            <w:tcBorders>
              <w:bottom w:val="single" w:sz="4" w:space="0" w:color="auto"/>
            </w:tcBorders>
          </w:tcPr>
          <w:p w14:paraId="64D77D98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Ricevimento (giorni, orari e modalità)</w:t>
            </w:r>
          </w:p>
        </w:tc>
        <w:tc>
          <w:tcPr>
            <w:tcW w:w="3566" w:type="pct"/>
            <w:gridSpan w:val="6"/>
            <w:tcBorders>
              <w:bottom w:val="single" w:sz="4" w:space="0" w:color="auto"/>
            </w:tcBorders>
          </w:tcPr>
          <w:p w14:paraId="39FA26C2" w14:textId="77777777" w:rsidR="000762AF" w:rsidRPr="00172571" w:rsidRDefault="000762AF" w:rsidP="00EF4F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Lunedì ore 9-12</w:t>
            </w:r>
          </w:p>
        </w:tc>
      </w:tr>
      <w:tr w:rsidR="000762AF" w:rsidRPr="00172571" w14:paraId="4F40AEDE" w14:textId="77777777" w:rsidTr="00EF4F5A">
        <w:tc>
          <w:tcPr>
            <w:tcW w:w="1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CF1C7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4238E" w14:textId="77777777" w:rsidR="000762AF" w:rsidRPr="00172571" w:rsidRDefault="000762AF" w:rsidP="00EF4F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4C445" w14:textId="77777777" w:rsidR="000762AF" w:rsidRPr="00172571" w:rsidRDefault="000762AF" w:rsidP="00EF4F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A620F" w14:textId="77777777" w:rsidR="000762AF" w:rsidRPr="00172571" w:rsidRDefault="000762AF" w:rsidP="00EF4F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762AF" w:rsidRPr="00172571" w14:paraId="69EA103B" w14:textId="77777777" w:rsidTr="00EF4F5A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7F81572E" w14:textId="77777777" w:rsidR="000762AF" w:rsidRPr="00172571" w:rsidRDefault="000762AF" w:rsidP="00EF4F5A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17257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Syllabus</w:t>
            </w:r>
            <w:proofErr w:type="spellEnd"/>
          </w:p>
        </w:tc>
        <w:tc>
          <w:tcPr>
            <w:tcW w:w="3566" w:type="pct"/>
            <w:gridSpan w:val="6"/>
            <w:tcBorders>
              <w:top w:val="single" w:sz="4" w:space="0" w:color="auto"/>
            </w:tcBorders>
          </w:tcPr>
          <w:p w14:paraId="1FFA8C6E" w14:textId="77777777" w:rsidR="000762AF" w:rsidRPr="00172571" w:rsidRDefault="000762AF" w:rsidP="00EF4F5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762AF" w:rsidRPr="00172571" w14:paraId="411301C4" w14:textId="77777777" w:rsidTr="00EF4F5A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7D9115" w14:textId="77777777" w:rsidR="000762AF" w:rsidRPr="00172571" w:rsidRDefault="000762AF" w:rsidP="00EF4F5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eastAsia="MS ??" w:hAnsiTheme="minorHAnsi" w:cstheme="minorHAnsi"/>
                <w:b/>
                <w:bCs/>
                <w:color w:val="000000" w:themeColor="text1"/>
                <w:sz w:val="22"/>
                <w:szCs w:val="22"/>
              </w:rPr>
              <w:t>Obiettivi formativi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1333B0D1" w14:textId="77777777" w:rsidR="000762AF" w:rsidRPr="00172571" w:rsidRDefault="000762AF" w:rsidP="00EF4F5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Lo/la studente acquisirà conoscenze in merito ai fondamenti dell’analisi dei processi di trasformazione sociale e culturale del nostro tempo.</w:t>
            </w:r>
          </w:p>
        </w:tc>
      </w:tr>
      <w:tr w:rsidR="000762AF" w:rsidRPr="00172571" w14:paraId="23593012" w14:textId="77777777" w:rsidTr="00EF4F5A">
        <w:trPr>
          <w:trHeight w:val="70"/>
        </w:trPr>
        <w:tc>
          <w:tcPr>
            <w:tcW w:w="1434" w:type="pct"/>
            <w:gridSpan w:val="2"/>
            <w:shd w:val="clear" w:color="auto" w:fill="FFFFFF"/>
          </w:tcPr>
          <w:p w14:paraId="11378CC1" w14:textId="77777777" w:rsidR="000762AF" w:rsidRPr="00172571" w:rsidRDefault="000762AF" w:rsidP="00EF4F5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Prerequisiti</w:t>
            </w:r>
          </w:p>
        </w:tc>
        <w:tc>
          <w:tcPr>
            <w:tcW w:w="3566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1B1F85B5" w14:textId="77777777" w:rsidR="000762AF" w:rsidRPr="00172571" w:rsidRDefault="000762AF" w:rsidP="00EF4F5A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Avere seguito l’insegnamento e sostenuto l’esame di Sociologia generale.</w:t>
            </w:r>
          </w:p>
        </w:tc>
      </w:tr>
      <w:tr w:rsidR="000762AF" w:rsidRPr="00172571" w14:paraId="54F388CA" w14:textId="77777777" w:rsidTr="00EF4F5A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95E8AC" w14:textId="77777777" w:rsidR="000762AF" w:rsidRPr="00172571" w:rsidRDefault="000762AF" w:rsidP="00EF4F5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Contenuti di insegnamento (Programma)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50BE8ED" w14:textId="16F7AB44" w:rsidR="000762AF" w:rsidRPr="00172571" w:rsidRDefault="000762AF" w:rsidP="00EF4F5A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sz w:val="22"/>
                <w:szCs w:val="22"/>
              </w:rPr>
              <w:t>I principali ambiti di studio della Sociologia dei processi culturali e comunicativi. Il ruolo sociale e culturale della moda nella società contemporanea in relazione ad aspetti quali: corpo, crisi pandemica, traduzione culturale, coloniale/</w:t>
            </w:r>
            <w:proofErr w:type="spellStart"/>
            <w:r w:rsidRPr="00172571">
              <w:rPr>
                <w:rFonts w:asciiTheme="minorHAnsi" w:hAnsiTheme="minorHAnsi" w:cstheme="minorHAnsi"/>
                <w:sz w:val="22"/>
                <w:szCs w:val="22"/>
              </w:rPr>
              <w:t>decoloniale</w:t>
            </w:r>
            <w:proofErr w:type="spellEnd"/>
            <w:r w:rsidRPr="00172571">
              <w:rPr>
                <w:rFonts w:asciiTheme="minorHAnsi" w:hAnsiTheme="minorHAnsi" w:cstheme="minorHAnsi"/>
                <w:sz w:val="22"/>
                <w:szCs w:val="22"/>
              </w:rPr>
              <w:t>, genere, inclusione sociale, sostenibilità, politica, comunicazione. Le nuove configurazioni della globalizzazione con particolare riferimento al tema dell’ambiente e al ruolo dei media digitali.</w:t>
            </w:r>
          </w:p>
        </w:tc>
      </w:tr>
      <w:tr w:rsidR="000762AF" w:rsidRPr="00172571" w14:paraId="26852997" w14:textId="77777777" w:rsidTr="00EF4F5A">
        <w:trPr>
          <w:trHeight w:val="70"/>
        </w:trPr>
        <w:tc>
          <w:tcPr>
            <w:tcW w:w="143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DD38C2B" w14:textId="77777777" w:rsidR="000762AF" w:rsidRPr="00172571" w:rsidRDefault="000762AF" w:rsidP="00EF4F5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Testi di riferimento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7FC3" w14:textId="77777777" w:rsidR="000762AF" w:rsidRPr="00172571" w:rsidRDefault="000762AF" w:rsidP="000762AF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72571">
              <w:rPr>
                <w:rFonts w:asciiTheme="minorHAnsi" w:hAnsiTheme="minorHAnsi" w:cstheme="minorHAnsi"/>
              </w:rPr>
              <w:t xml:space="preserve">Angelo Romeo (a cura di), </w:t>
            </w:r>
            <w:r w:rsidRPr="00172571">
              <w:rPr>
                <w:rFonts w:asciiTheme="minorHAnsi" w:hAnsiTheme="minorHAnsi" w:cstheme="minorHAnsi"/>
                <w:i/>
                <w:iCs/>
              </w:rPr>
              <w:t>Sociologia dei processi culturali e comunicativi. Concetti e temi</w:t>
            </w:r>
            <w:r w:rsidRPr="00172571">
              <w:rPr>
                <w:rFonts w:asciiTheme="minorHAnsi" w:hAnsiTheme="minorHAnsi" w:cstheme="minorHAnsi"/>
              </w:rPr>
              <w:t xml:space="preserve">, Milano, </w:t>
            </w:r>
            <w:proofErr w:type="spellStart"/>
            <w:r w:rsidRPr="00172571">
              <w:rPr>
                <w:rFonts w:asciiTheme="minorHAnsi" w:hAnsiTheme="minorHAnsi" w:cstheme="minorHAnsi"/>
              </w:rPr>
              <w:t>Mimesis</w:t>
            </w:r>
            <w:proofErr w:type="spellEnd"/>
            <w:r w:rsidRPr="00172571">
              <w:rPr>
                <w:rFonts w:asciiTheme="minorHAnsi" w:hAnsiTheme="minorHAnsi" w:cstheme="minorHAnsi"/>
              </w:rPr>
              <w:t>, 2015.</w:t>
            </w:r>
          </w:p>
          <w:p w14:paraId="0A6E20C7" w14:textId="77777777" w:rsidR="000762AF" w:rsidRPr="00172571" w:rsidRDefault="000762AF" w:rsidP="000762AF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72571">
              <w:rPr>
                <w:rFonts w:asciiTheme="minorHAnsi" w:hAnsiTheme="minorHAnsi" w:cstheme="minorHAnsi"/>
              </w:rPr>
              <w:t>Patrizia Calefato</w:t>
            </w:r>
            <w:r w:rsidRPr="00172571">
              <w:rPr>
                <w:rFonts w:asciiTheme="minorHAnsi" w:hAnsiTheme="minorHAnsi" w:cstheme="minorHAnsi"/>
                <w:i/>
                <w:iCs/>
              </w:rPr>
              <w:t>, La moda e il corpo. Teorie, concetti, prospettive critiche</w:t>
            </w:r>
            <w:r w:rsidRPr="00172571">
              <w:rPr>
                <w:rFonts w:asciiTheme="minorHAnsi" w:hAnsiTheme="minorHAnsi" w:cstheme="minorHAnsi"/>
              </w:rPr>
              <w:t>, Roma, Carocci, 2021.</w:t>
            </w:r>
          </w:p>
          <w:p w14:paraId="3DEC29F7" w14:textId="77777777" w:rsidR="000762AF" w:rsidRPr="00172571" w:rsidRDefault="000762AF" w:rsidP="000762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sz w:val="22"/>
                <w:szCs w:val="22"/>
              </w:rPr>
              <w:t xml:space="preserve">Un libro a scelta tra i seguenti: </w:t>
            </w:r>
          </w:p>
          <w:p w14:paraId="6F2F652D" w14:textId="77777777" w:rsidR="000762AF" w:rsidRPr="00172571" w:rsidRDefault="000762AF" w:rsidP="000762AF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9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</w:rPr>
              <w:t xml:space="preserve">Marcel Danesi, </w:t>
            </w:r>
            <w:r w:rsidRPr="00172571">
              <w:rPr>
                <w:rFonts w:asciiTheme="minorHAnsi" w:hAnsiTheme="minorHAnsi" w:cstheme="minorHAnsi"/>
                <w:i/>
                <w:iCs/>
              </w:rPr>
              <w:t>La comunicazione al tempo di Internet</w:t>
            </w:r>
            <w:r w:rsidRPr="00172571">
              <w:rPr>
                <w:rFonts w:asciiTheme="minorHAnsi" w:hAnsiTheme="minorHAnsi" w:cstheme="minorHAnsi"/>
              </w:rPr>
              <w:t xml:space="preserve">, Bari, </w:t>
            </w:r>
            <w:proofErr w:type="spellStart"/>
            <w:r w:rsidRPr="00172571">
              <w:rPr>
                <w:rFonts w:asciiTheme="minorHAnsi" w:hAnsiTheme="minorHAnsi" w:cstheme="minorHAnsi"/>
              </w:rPr>
              <w:t>Progedit</w:t>
            </w:r>
            <w:proofErr w:type="spellEnd"/>
            <w:r w:rsidRPr="00172571">
              <w:rPr>
                <w:rFonts w:asciiTheme="minorHAnsi" w:hAnsiTheme="minorHAnsi" w:cstheme="minorHAnsi"/>
              </w:rPr>
              <w:t>, 2013.</w:t>
            </w:r>
          </w:p>
          <w:p w14:paraId="269B1519" w14:textId="6A9848D8" w:rsidR="000762AF" w:rsidRPr="00172571" w:rsidRDefault="000762AF" w:rsidP="000762AF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9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</w:rPr>
              <w:t xml:space="preserve">Bruno Latour, </w:t>
            </w:r>
            <w:r w:rsidRPr="00172571">
              <w:rPr>
                <w:rFonts w:asciiTheme="minorHAnsi" w:hAnsiTheme="minorHAnsi" w:cstheme="minorHAnsi"/>
                <w:i/>
                <w:iCs/>
              </w:rPr>
              <w:t>Tracciare la rotta. Come orientarsi in politica</w:t>
            </w:r>
            <w:r w:rsidRPr="00172571">
              <w:rPr>
                <w:rFonts w:asciiTheme="minorHAnsi" w:hAnsiTheme="minorHAnsi" w:cstheme="minorHAnsi"/>
              </w:rPr>
              <w:t>, Milano, Raffaello Cortina, 2020.</w:t>
            </w:r>
          </w:p>
        </w:tc>
      </w:tr>
      <w:tr w:rsidR="000762AF" w:rsidRPr="00172571" w14:paraId="2A8F7102" w14:textId="77777777" w:rsidTr="00EF4F5A">
        <w:trPr>
          <w:trHeight w:val="70"/>
        </w:trPr>
        <w:tc>
          <w:tcPr>
            <w:tcW w:w="143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994099" w14:textId="77777777" w:rsidR="000762AF" w:rsidRPr="00172571" w:rsidRDefault="000762AF" w:rsidP="00EF4F5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Note ai testi di riferimento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501701" w14:textId="77777777" w:rsidR="000762AF" w:rsidRPr="00172571" w:rsidRDefault="000762AF" w:rsidP="00EF4F5A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0762AF" w:rsidRPr="00172571" w14:paraId="05D5CEA0" w14:textId="77777777" w:rsidTr="00EF4F5A">
        <w:tc>
          <w:tcPr>
            <w:tcW w:w="1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F25ED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EEAE4" w14:textId="77777777" w:rsidR="000762AF" w:rsidRPr="00172571" w:rsidRDefault="000762AF" w:rsidP="00EF4F5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762AF" w:rsidRPr="00172571" w14:paraId="0A40AB87" w14:textId="77777777" w:rsidTr="00EF4F5A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76648087" w14:textId="77777777" w:rsidR="000762AF" w:rsidRPr="00172571" w:rsidRDefault="000762AF" w:rsidP="00EF4F5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Organizzazione della didattica 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</w:tcBorders>
          </w:tcPr>
          <w:p w14:paraId="08A3AD6C" w14:textId="77777777" w:rsidR="000762AF" w:rsidRPr="00172571" w:rsidRDefault="000762AF" w:rsidP="00EF4F5A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0762AF" w:rsidRPr="00172571" w14:paraId="3C9DF464" w14:textId="77777777" w:rsidTr="00EF4F5A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B2A1C7"/>
          </w:tcPr>
          <w:p w14:paraId="6E0122B9" w14:textId="77777777" w:rsidR="000762AF" w:rsidRPr="00172571" w:rsidRDefault="000762AF" w:rsidP="00EF4F5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Ore</w:t>
            </w:r>
          </w:p>
        </w:tc>
      </w:tr>
      <w:tr w:rsidR="000762AF" w:rsidRPr="00172571" w14:paraId="5D93AD50" w14:textId="77777777" w:rsidTr="00EF4F5A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12B56A6F" w14:textId="77777777" w:rsidR="000762AF" w:rsidRPr="00172571" w:rsidRDefault="000762AF" w:rsidP="00EF4F5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Totali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C0F073" w14:textId="77777777" w:rsidR="000762AF" w:rsidRPr="00172571" w:rsidRDefault="000762AF" w:rsidP="00EF4F5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Didattica frontale 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D55A9A" w14:textId="77777777" w:rsidR="000762AF" w:rsidRPr="00172571" w:rsidRDefault="000762AF" w:rsidP="00EF4F5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Pratica (laboratorio, campo, esercitazione, altro): Lavori di gruppo, Predisposizione di elaborati, Seminari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7C016BDB" w14:textId="77777777" w:rsidR="000762AF" w:rsidRPr="00172571" w:rsidRDefault="000762AF" w:rsidP="00EF4F5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Studio individuale</w:t>
            </w:r>
          </w:p>
        </w:tc>
      </w:tr>
      <w:tr w:rsidR="000762AF" w:rsidRPr="00172571" w14:paraId="20B09F35" w14:textId="77777777" w:rsidTr="00EF4F5A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056CC08A" w14:textId="2C3ED113" w:rsidR="000762AF" w:rsidRPr="00172571" w:rsidRDefault="000762AF" w:rsidP="00EF4F5A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2325E1" w14:textId="30014DB6" w:rsidR="000762AF" w:rsidRPr="00172571" w:rsidRDefault="000762AF" w:rsidP="00EF4F5A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7107F9" w14:textId="047FE03C" w:rsidR="000762AF" w:rsidRPr="00172571" w:rsidRDefault="000762AF" w:rsidP="00EF4F5A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4BB021" w14:textId="0BF8579B" w:rsidR="000762AF" w:rsidRPr="00172571" w:rsidRDefault="000762AF" w:rsidP="00EF4F5A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1</w:t>
            </w:r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0762AF" w:rsidRPr="00172571" w14:paraId="355D8818" w14:textId="77777777" w:rsidTr="00EF4F5A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B2A1C7"/>
          </w:tcPr>
          <w:p w14:paraId="32D87717" w14:textId="77777777" w:rsidR="000762AF" w:rsidRPr="00172571" w:rsidRDefault="000762AF" w:rsidP="00EF4F5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CFU/ETCS</w:t>
            </w:r>
          </w:p>
        </w:tc>
      </w:tr>
      <w:tr w:rsidR="000762AF" w:rsidRPr="00172571" w14:paraId="6F01F92B" w14:textId="77777777" w:rsidTr="00EF4F5A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603AD948" w14:textId="7BDD9C3A" w:rsidR="000762AF" w:rsidRPr="00172571" w:rsidRDefault="000762AF" w:rsidP="00EF4F5A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AE93D2" w14:textId="77777777" w:rsidR="000762AF" w:rsidRPr="00172571" w:rsidRDefault="000762AF" w:rsidP="00EF4F5A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69B202" w14:textId="77777777" w:rsidR="000762AF" w:rsidRPr="00172571" w:rsidRDefault="000762AF" w:rsidP="00EF4F5A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1DEE4F2" w14:textId="77777777" w:rsidR="000762AF" w:rsidRPr="00172571" w:rsidRDefault="000762AF" w:rsidP="00EF4F5A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0762AF" w:rsidRPr="00172571" w14:paraId="1AAEA051" w14:textId="77777777" w:rsidTr="00EF4F5A">
        <w:trPr>
          <w:trHeight w:val="161"/>
        </w:trPr>
        <w:tc>
          <w:tcPr>
            <w:tcW w:w="1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C0DDFC" w14:textId="77777777" w:rsidR="000762AF" w:rsidRPr="00172571" w:rsidRDefault="000762AF" w:rsidP="00EF4F5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0CDA9" w14:textId="77777777" w:rsidR="000762AF" w:rsidRPr="00172571" w:rsidRDefault="000762AF" w:rsidP="00EF4F5A">
            <w:pPr>
              <w:pStyle w:val="Grigliamedia1-Colore21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0762AF" w:rsidRPr="00172571" w14:paraId="1C5C9AC2" w14:textId="77777777" w:rsidTr="00EF4F5A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384907B0" w14:textId="77777777" w:rsidR="000762AF" w:rsidRPr="00172571" w:rsidRDefault="000762AF" w:rsidP="00EF4F5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eastAsia="MS ??" w:hAnsiTheme="minorHAnsi" w:cstheme="minorHAnsi"/>
                <w:b/>
                <w:bCs/>
                <w:color w:val="000000" w:themeColor="text1"/>
                <w:sz w:val="22"/>
                <w:szCs w:val="22"/>
              </w:rPr>
              <w:t>Metodi didattici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</w:tcBorders>
          </w:tcPr>
          <w:p w14:paraId="64B8B09E" w14:textId="77777777" w:rsidR="000762AF" w:rsidRPr="00172571" w:rsidRDefault="000762AF" w:rsidP="00EF4F5A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0762AF" w:rsidRPr="00172571" w14:paraId="5FB6B7E7" w14:textId="77777777" w:rsidTr="00EF4F5A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7A9B389" w14:textId="77777777" w:rsidR="000762AF" w:rsidRPr="00172571" w:rsidRDefault="000762AF" w:rsidP="00EF4F5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66" w:type="pct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345944F2" w14:textId="77777777" w:rsidR="000762AF" w:rsidRPr="00172571" w:rsidRDefault="000762AF" w:rsidP="00EF4F5A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Lezioni frontali, presentazione di testi visivi, mentoring, discussione su interventi (orali e scritti) degli/</w:t>
            </w:r>
            <w:proofErr w:type="spellStart"/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lle</w:t>
            </w:r>
            <w:proofErr w:type="spellEnd"/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studenti, seminari con docenti invitati, analisi di casi.</w:t>
            </w:r>
          </w:p>
        </w:tc>
      </w:tr>
      <w:tr w:rsidR="000762AF" w:rsidRPr="00172571" w14:paraId="04D9066B" w14:textId="77777777" w:rsidTr="00EF4F5A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7FB9F766" w14:textId="77777777" w:rsidR="000762AF" w:rsidRPr="00172571" w:rsidRDefault="000762AF" w:rsidP="00EF4F5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66" w:type="pct"/>
            <w:gridSpan w:val="6"/>
            <w:tcBorders>
              <w:top w:val="single" w:sz="4" w:space="0" w:color="000000"/>
              <w:left w:val="nil"/>
              <w:right w:val="nil"/>
            </w:tcBorders>
          </w:tcPr>
          <w:p w14:paraId="1C550622" w14:textId="77777777" w:rsidR="000762AF" w:rsidRPr="00172571" w:rsidRDefault="000762AF" w:rsidP="00EF4F5A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0762AF" w:rsidRPr="00172571" w14:paraId="75685ECD" w14:textId="77777777" w:rsidTr="00EF4F5A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14D7F5F7" w14:textId="77777777" w:rsidR="000762AF" w:rsidRPr="00172571" w:rsidRDefault="000762AF" w:rsidP="00EF4F5A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Risultati di apprendimento previsti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</w:tcBorders>
          </w:tcPr>
          <w:p w14:paraId="3C03B5F5" w14:textId="77777777" w:rsidR="000762AF" w:rsidRPr="00172571" w:rsidRDefault="000762AF" w:rsidP="00EF4F5A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0762AF" w:rsidRPr="00172571" w14:paraId="4364FCC5" w14:textId="77777777" w:rsidTr="00EF4F5A">
        <w:trPr>
          <w:trHeight w:val="525"/>
        </w:trPr>
        <w:tc>
          <w:tcPr>
            <w:tcW w:w="1434" w:type="pct"/>
            <w:gridSpan w:val="2"/>
            <w:shd w:val="clear" w:color="auto" w:fill="FFFFFF"/>
          </w:tcPr>
          <w:p w14:paraId="4009E6C4" w14:textId="77777777" w:rsidR="000762AF" w:rsidRPr="00172571" w:rsidRDefault="000762AF" w:rsidP="00EF4F5A">
            <w:pPr>
              <w:pStyle w:val="Grigliamedia1-Colore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Conoscenza e capacità di comprensione</w:t>
            </w:r>
          </w:p>
          <w:p w14:paraId="56E6D6A0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66" w:type="pct"/>
            <w:gridSpan w:val="6"/>
          </w:tcPr>
          <w:p w14:paraId="70C4A7C4" w14:textId="77777777" w:rsidR="000762AF" w:rsidRPr="00172571" w:rsidRDefault="000762AF" w:rsidP="00EF4F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59" w:lineRule="auto"/>
              <w:textDirection w:val="btLr"/>
              <w:textAlignment w:val="top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Acquisizione delle principali conoscenze sociologico-culturali in relazione ai processi di trasformazione del nostro tempo.</w:t>
            </w:r>
          </w:p>
        </w:tc>
      </w:tr>
      <w:tr w:rsidR="000762AF" w:rsidRPr="00172571" w14:paraId="408A5D8D" w14:textId="77777777" w:rsidTr="00EF4F5A">
        <w:trPr>
          <w:trHeight w:val="525"/>
        </w:trPr>
        <w:tc>
          <w:tcPr>
            <w:tcW w:w="1434" w:type="pct"/>
            <w:gridSpan w:val="2"/>
            <w:shd w:val="clear" w:color="auto" w:fill="FFFFFF"/>
          </w:tcPr>
          <w:p w14:paraId="1441E111" w14:textId="77777777" w:rsidR="000762AF" w:rsidRPr="00172571" w:rsidRDefault="000762AF" w:rsidP="00EF4F5A">
            <w:pPr>
              <w:pStyle w:val="Grigliamedia1-Colore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Conoscenza e capacità di comprensione applicate</w:t>
            </w:r>
          </w:p>
          <w:p w14:paraId="3E64184D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66" w:type="pct"/>
            <w:gridSpan w:val="6"/>
          </w:tcPr>
          <w:p w14:paraId="2105149F" w14:textId="77777777" w:rsidR="000762AF" w:rsidRPr="00172571" w:rsidRDefault="000762AF" w:rsidP="00EF4F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Capacità di argomentare sui contenuti acquisiti; </w:t>
            </w:r>
          </w:p>
          <w:p w14:paraId="5AF4D8A6" w14:textId="77777777" w:rsidR="000762AF" w:rsidRPr="00172571" w:rsidRDefault="000762AF" w:rsidP="00EF4F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capacità di collocare in contesti di spazio-tempo i concetti e le scuole di pensiero studiate, </w:t>
            </w:r>
          </w:p>
          <w:p w14:paraId="7E283DAE" w14:textId="77777777" w:rsidR="000762AF" w:rsidRPr="00172571" w:rsidRDefault="000762AF" w:rsidP="00EF4F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capacità di interpretare, </w:t>
            </w:r>
          </w:p>
          <w:p w14:paraId="68D33332" w14:textId="77777777" w:rsidR="000762AF" w:rsidRPr="00172571" w:rsidRDefault="000762AF" w:rsidP="00EF4F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capacità di comportarsi in relazione ad altri.</w:t>
            </w:r>
          </w:p>
          <w:p w14:paraId="095FF017" w14:textId="77777777" w:rsidR="000762AF" w:rsidRPr="00172571" w:rsidRDefault="000762AF" w:rsidP="00EF4F5A">
            <w:pPr>
              <w:numPr>
                <w:ilvl w:val="1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762AF" w:rsidRPr="00172571" w14:paraId="1D8DF300" w14:textId="77777777" w:rsidTr="00EF4F5A">
        <w:trPr>
          <w:trHeight w:val="525"/>
        </w:trPr>
        <w:tc>
          <w:tcPr>
            <w:tcW w:w="1434" w:type="pct"/>
            <w:gridSpan w:val="2"/>
            <w:shd w:val="clear" w:color="auto" w:fill="FFFFFF"/>
          </w:tcPr>
          <w:p w14:paraId="1733B0BC" w14:textId="77777777" w:rsidR="000762AF" w:rsidRPr="00172571" w:rsidRDefault="000762AF" w:rsidP="00EF4F5A">
            <w:pPr>
              <w:pStyle w:val="Grigliamedia1-Colore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Competenze trasversali</w:t>
            </w:r>
          </w:p>
          <w:p w14:paraId="350FCCDA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66" w:type="pct"/>
            <w:gridSpan w:val="6"/>
          </w:tcPr>
          <w:p w14:paraId="3A3295A5" w14:textId="77777777" w:rsidR="000762AF" w:rsidRPr="00172571" w:rsidRDefault="000762AF" w:rsidP="00EF4F5A">
            <w:pPr>
              <w:pStyle w:val="Grigliamedia1-Colore2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jc w:val="both"/>
              <w:textDirection w:val="btLr"/>
              <w:textAlignment w:val="top"/>
              <w:outlineLvl w:val="0"/>
              <w:rPr>
                <w:rFonts w:asciiTheme="minorHAnsi" w:eastAsia="Gill Sans" w:hAnsiTheme="minorHAnsi" w:cstheme="minorHAnsi"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  <w:i/>
                <w:color w:val="000000" w:themeColor="text1"/>
              </w:rPr>
              <w:t>Autonomia di giudizio:</w:t>
            </w:r>
          </w:p>
          <w:p w14:paraId="41A3BB99" w14:textId="77777777" w:rsidR="000762AF" w:rsidRPr="00172571" w:rsidRDefault="000762AF" w:rsidP="00EF4F5A">
            <w:pPr>
              <w:pStyle w:val="Grigliamedia1-Colore21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="360"/>
              <w:jc w:val="both"/>
              <w:textDirection w:val="btLr"/>
              <w:textAlignment w:val="top"/>
              <w:outlineLvl w:val="0"/>
              <w:rPr>
                <w:rFonts w:asciiTheme="minorHAnsi" w:eastAsia="Gill Sans" w:hAnsiTheme="minorHAnsi" w:cstheme="minorHAnsi"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Al termine dell’insegnamento lo studente dovrà essere in grado di:</w:t>
            </w:r>
          </w:p>
          <w:p w14:paraId="4160C28F" w14:textId="77777777" w:rsidR="000762AF" w:rsidRPr="00172571" w:rsidRDefault="000762AF" w:rsidP="00EF4F5A">
            <w:pPr>
              <w:pStyle w:val="Grigliamedia1-Colore21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jc w:val="both"/>
              <w:textDirection w:val="btLr"/>
              <w:textAlignment w:val="top"/>
              <w:outlineLvl w:val="0"/>
              <w:rPr>
                <w:rFonts w:asciiTheme="minorHAnsi" w:eastAsia="Gill Sans" w:hAnsiTheme="minorHAnsi" w:cstheme="minorHAnsi"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  <w:i/>
                <w:color w:val="000000" w:themeColor="text1"/>
              </w:rPr>
              <w:t xml:space="preserve">Applicare le conoscenze all’analisi di casi di studio. </w:t>
            </w:r>
          </w:p>
          <w:p w14:paraId="3814C9F5" w14:textId="77777777" w:rsidR="000762AF" w:rsidRPr="00172571" w:rsidRDefault="000762AF" w:rsidP="00EF4F5A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  <w:i/>
                <w:color w:val="000000" w:themeColor="text1"/>
              </w:rPr>
              <w:t>Abilità comunicative</w:t>
            </w:r>
          </w:p>
          <w:p w14:paraId="109485F6" w14:textId="77777777" w:rsidR="000762AF" w:rsidRPr="00172571" w:rsidRDefault="000762AF" w:rsidP="00EF4F5A">
            <w:pPr>
              <w:pStyle w:val="Grigliamedia1-Colore21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Al termine dell’insegnamento lo studente dovrà essere in grado di:</w:t>
            </w:r>
          </w:p>
          <w:p w14:paraId="2CE3EC8F" w14:textId="31700344" w:rsidR="000762AF" w:rsidRPr="00172571" w:rsidRDefault="000762AF" w:rsidP="00EF4F5A">
            <w:pPr>
              <w:pStyle w:val="Grigliamedia1-Colore21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  <w:i/>
                <w:color w:val="000000" w:themeColor="text1"/>
              </w:rPr>
              <w:t>Documentare e motivare le proprie conoscenze collaborando e interagendo con altri</w:t>
            </w:r>
            <w:r w:rsidRPr="00172571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</w:p>
          <w:p w14:paraId="3EF6FAA6" w14:textId="77777777" w:rsidR="000762AF" w:rsidRPr="00172571" w:rsidRDefault="000762AF" w:rsidP="00EF4F5A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  <w:i/>
                <w:color w:val="000000" w:themeColor="text1"/>
              </w:rPr>
              <w:t>Capacità di apprendere in modo autonomo</w:t>
            </w:r>
          </w:p>
          <w:p w14:paraId="23FA7DD6" w14:textId="77777777" w:rsidR="000762AF" w:rsidRPr="00172571" w:rsidRDefault="000762AF" w:rsidP="00EF4F5A">
            <w:pPr>
              <w:pStyle w:val="Grigliamedia1-Colore21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Al termine dell’insegnamento lo studente dovrà essere in grado di:</w:t>
            </w:r>
          </w:p>
          <w:p w14:paraId="5BBA31D0" w14:textId="77777777" w:rsidR="000762AF" w:rsidRPr="00172571" w:rsidRDefault="000762AF" w:rsidP="00EF4F5A">
            <w:pPr>
              <w:pStyle w:val="Grigliamedia1-Colore21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  <w:i/>
                <w:color w:val="000000" w:themeColor="text1"/>
              </w:rPr>
              <w:t xml:space="preserve">Comprendere testi scritti e visivi, </w:t>
            </w:r>
          </w:p>
          <w:p w14:paraId="1115E5D0" w14:textId="77777777" w:rsidR="000762AF" w:rsidRPr="00172571" w:rsidRDefault="000762AF" w:rsidP="00EF4F5A">
            <w:pPr>
              <w:pStyle w:val="Grigliamedia1-Colore21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  <w:i/>
                <w:color w:val="000000" w:themeColor="text1"/>
              </w:rPr>
              <w:t xml:space="preserve">interpretare situazioni, </w:t>
            </w:r>
          </w:p>
          <w:p w14:paraId="101E0999" w14:textId="77777777" w:rsidR="000762AF" w:rsidRPr="00172571" w:rsidRDefault="000762AF" w:rsidP="00EF4F5A">
            <w:pPr>
              <w:pStyle w:val="Grigliamedia1-Colore21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  <w:i/>
                <w:color w:val="000000" w:themeColor="text1"/>
              </w:rPr>
              <w:t xml:space="preserve">confrontare, </w:t>
            </w:r>
          </w:p>
          <w:p w14:paraId="6B62EC6D" w14:textId="77777777" w:rsidR="000762AF" w:rsidRPr="00172571" w:rsidRDefault="000762AF" w:rsidP="00EF4F5A">
            <w:pPr>
              <w:pStyle w:val="Grigliamedia1-Colore21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  <w:i/>
                <w:color w:val="000000" w:themeColor="text1"/>
              </w:rPr>
              <w:t xml:space="preserve">argomentare, </w:t>
            </w:r>
          </w:p>
          <w:p w14:paraId="4D14F421" w14:textId="77777777" w:rsidR="000762AF" w:rsidRPr="00172571" w:rsidRDefault="000762AF" w:rsidP="00EF4F5A">
            <w:pPr>
              <w:pStyle w:val="Grigliamedia1-Colore21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  <w:i/>
                <w:color w:val="000000" w:themeColor="text1"/>
              </w:rPr>
              <w:t>dialogare</w:t>
            </w:r>
          </w:p>
          <w:p w14:paraId="37E66A6F" w14:textId="77777777" w:rsidR="000762AF" w:rsidRPr="00172571" w:rsidRDefault="000762AF" w:rsidP="00EF4F5A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762AF" w:rsidRPr="00172571" w14:paraId="61B75435" w14:textId="77777777" w:rsidTr="00EF4F5A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B01632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07C25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762AF" w:rsidRPr="00172571" w14:paraId="4DF12355" w14:textId="77777777" w:rsidTr="00EF4F5A">
        <w:trPr>
          <w:trHeight w:val="70"/>
        </w:trPr>
        <w:tc>
          <w:tcPr>
            <w:tcW w:w="1434" w:type="pct"/>
            <w:gridSpan w:val="2"/>
            <w:shd w:val="clear" w:color="auto" w:fill="B2A1C7"/>
          </w:tcPr>
          <w:p w14:paraId="51265B01" w14:textId="77777777" w:rsidR="000762AF" w:rsidRPr="00172571" w:rsidRDefault="000762AF" w:rsidP="00EF4F5A">
            <w:pPr>
              <w:spacing w:line="276" w:lineRule="auto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Valutazione </w:t>
            </w:r>
          </w:p>
        </w:tc>
        <w:tc>
          <w:tcPr>
            <w:tcW w:w="3566" w:type="pct"/>
            <w:gridSpan w:val="6"/>
          </w:tcPr>
          <w:p w14:paraId="477E28D4" w14:textId="77777777" w:rsidR="000762AF" w:rsidRPr="00172571" w:rsidRDefault="000762AF" w:rsidP="00EF4F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762AF" w:rsidRPr="00172571" w14:paraId="71BC5C58" w14:textId="77777777" w:rsidTr="00EF4F5A">
        <w:trPr>
          <w:trHeight w:val="70"/>
        </w:trPr>
        <w:tc>
          <w:tcPr>
            <w:tcW w:w="1434" w:type="pct"/>
            <w:gridSpan w:val="2"/>
            <w:shd w:val="clear" w:color="auto" w:fill="FFFFFF"/>
          </w:tcPr>
          <w:p w14:paraId="36E5574F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Modalità di verifica dell’apprendimento</w:t>
            </w:r>
          </w:p>
        </w:tc>
        <w:tc>
          <w:tcPr>
            <w:tcW w:w="3566" w:type="pct"/>
            <w:gridSpan w:val="6"/>
          </w:tcPr>
          <w:p w14:paraId="17534CF7" w14:textId="77777777" w:rsidR="000762AF" w:rsidRPr="00172571" w:rsidRDefault="000762AF" w:rsidP="00EF4F5A">
            <w:pPr>
              <w:pStyle w:val="Grigliamedia1-Colore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  <w:i/>
                <w:color w:val="000000" w:themeColor="text1"/>
              </w:rPr>
              <w:t xml:space="preserve">Esame finale orale. Prove in itinere </w:t>
            </w:r>
          </w:p>
        </w:tc>
      </w:tr>
      <w:tr w:rsidR="000762AF" w:rsidRPr="00172571" w14:paraId="61E7FBDD" w14:textId="77777777" w:rsidTr="00EF4F5A">
        <w:trPr>
          <w:trHeight w:val="70"/>
        </w:trPr>
        <w:tc>
          <w:tcPr>
            <w:tcW w:w="1434" w:type="pct"/>
            <w:gridSpan w:val="2"/>
            <w:shd w:val="clear" w:color="auto" w:fill="FFFFFF"/>
          </w:tcPr>
          <w:p w14:paraId="622F9A25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Criteri di valutazione </w:t>
            </w:r>
          </w:p>
          <w:p w14:paraId="57397926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66" w:type="pct"/>
            <w:gridSpan w:val="6"/>
          </w:tcPr>
          <w:p w14:paraId="52E97C5F" w14:textId="77777777" w:rsidR="000762AF" w:rsidRPr="00172571" w:rsidRDefault="000762AF" w:rsidP="00EF4F5A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  <w:i/>
                <w:color w:val="000000" w:themeColor="text1"/>
              </w:rPr>
              <w:t>Conoscenza e capacità di comprensione:</w:t>
            </w:r>
          </w:p>
          <w:p w14:paraId="49A3B0B0" w14:textId="45D9C304" w:rsidR="000762AF" w:rsidRPr="00172571" w:rsidRDefault="000762AF" w:rsidP="000762AF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172571">
              <w:rPr>
                <w:rFonts w:asciiTheme="minorHAnsi" w:hAnsiTheme="minorHAnsi" w:cstheme="minorHAnsi"/>
              </w:rPr>
              <w:t>Verrà valutata la conoscenza da parte dello/a studente dei contenuti presentati nel corso, particolarmente di quelli fondativi nella formazione di un/a laureato/a in Scienze politiche in grado di comprendere e orientarsi nella complessità sociale, comunicativa, culturale e politica del nostro tempo.</w:t>
            </w:r>
          </w:p>
          <w:p w14:paraId="7991CBA7" w14:textId="77777777" w:rsidR="000762AF" w:rsidRPr="00172571" w:rsidRDefault="000762AF" w:rsidP="00EF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93ECB43" w14:textId="77777777" w:rsidR="000762AF" w:rsidRPr="00172571" w:rsidRDefault="000762AF" w:rsidP="00EF4F5A">
            <w:pPr>
              <w:pStyle w:val="Grigliamedia1-Colore2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  <w:i/>
                <w:color w:val="000000" w:themeColor="text1"/>
              </w:rPr>
              <w:t xml:space="preserve">Conoscenza e capacità di comprensione applicate: </w:t>
            </w:r>
          </w:p>
          <w:p w14:paraId="2908C473" w14:textId="77777777" w:rsidR="000762AF" w:rsidRPr="00172571" w:rsidRDefault="000762AF" w:rsidP="00EF4F5A">
            <w:pPr>
              <w:pStyle w:val="Grigliamedia1-Colore21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</w:rPr>
              <w:t>Verranno valutate le competenze analitiche e argomentative.</w:t>
            </w:r>
          </w:p>
          <w:p w14:paraId="506533F6" w14:textId="77777777" w:rsidR="000762AF" w:rsidRPr="00172571" w:rsidRDefault="000762AF" w:rsidP="00EF4F5A">
            <w:pPr>
              <w:ind w:left="728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874972" w14:textId="77777777" w:rsidR="000762AF" w:rsidRPr="00172571" w:rsidRDefault="000762AF" w:rsidP="00EF4F5A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  <w:i/>
                <w:color w:val="000000" w:themeColor="text1"/>
              </w:rPr>
              <w:t>Autonomia di giudizio</w:t>
            </w:r>
            <w:r w:rsidRPr="00172571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42197587" w14:textId="77777777" w:rsidR="000762AF" w:rsidRPr="00172571" w:rsidRDefault="000762AF" w:rsidP="00EF4F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Verrà valutata la capacità di giudicare autonomamente e di muoversi con spirito critico rispetto ai temi studiati nel corso.</w:t>
            </w:r>
          </w:p>
          <w:p w14:paraId="65BE9116" w14:textId="77777777" w:rsidR="000762AF" w:rsidRPr="00172571" w:rsidRDefault="000762AF" w:rsidP="00EF4F5A">
            <w:pPr>
              <w:ind w:left="728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AD0D90D" w14:textId="77777777" w:rsidR="000762AF" w:rsidRPr="00172571" w:rsidRDefault="000762AF" w:rsidP="00EF4F5A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Abilità comunicative:</w:t>
            </w:r>
          </w:p>
          <w:p w14:paraId="19239C52" w14:textId="77777777" w:rsidR="000762AF" w:rsidRPr="00172571" w:rsidRDefault="000762AF" w:rsidP="00EF4F5A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Verrà valutata la capacità di fondare le proprie argomentazioni sia in relazione ai concetti studiati, sia in riferimento a concreti casi di studio.</w:t>
            </w:r>
          </w:p>
          <w:p w14:paraId="0630AC0A" w14:textId="77777777" w:rsidR="000762AF" w:rsidRPr="00172571" w:rsidRDefault="000762AF" w:rsidP="00EF4F5A">
            <w:pPr>
              <w:ind w:left="728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44C298" w14:textId="77777777" w:rsidR="000762AF" w:rsidRPr="00172571" w:rsidRDefault="000762AF" w:rsidP="00EF4F5A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Capacità di apprendere:</w:t>
            </w:r>
          </w:p>
          <w:p w14:paraId="2CE9F538" w14:textId="77777777" w:rsidR="000762AF" w:rsidRPr="00172571" w:rsidRDefault="000762AF" w:rsidP="00EF4F5A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Verrà valutata l'acquisizione di capacità interpretative e comunicative di livello adeguato alla figura di laureato/a che si forma in questo corso di studi. </w:t>
            </w:r>
          </w:p>
          <w:p w14:paraId="2671416F" w14:textId="77777777" w:rsidR="000762AF" w:rsidRPr="00172571" w:rsidRDefault="000762AF" w:rsidP="00EF4F5A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Verranno considerate l'interazione e la collaborazione durante il corso.</w:t>
            </w:r>
          </w:p>
        </w:tc>
      </w:tr>
      <w:tr w:rsidR="000762AF" w:rsidRPr="00172571" w14:paraId="7B87CEB5" w14:textId="77777777" w:rsidTr="00EF4F5A">
        <w:trPr>
          <w:trHeight w:val="70"/>
        </w:trPr>
        <w:tc>
          <w:tcPr>
            <w:tcW w:w="1434" w:type="pct"/>
            <w:gridSpan w:val="2"/>
            <w:shd w:val="clear" w:color="auto" w:fill="FFFFFF"/>
          </w:tcPr>
          <w:p w14:paraId="1BB64480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Criteri di misurazione</w:t>
            </w:r>
          </w:p>
          <w:p w14:paraId="3A6E959A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dell'apprendimento e di attribuzione del voto finale</w:t>
            </w:r>
          </w:p>
        </w:tc>
        <w:tc>
          <w:tcPr>
            <w:tcW w:w="3566" w:type="pct"/>
            <w:gridSpan w:val="6"/>
          </w:tcPr>
          <w:p w14:paraId="3F6E0A24" w14:textId="77777777" w:rsidR="000762AF" w:rsidRPr="00172571" w:rsidRDefault="000762AF" w:rsidP="00EF4F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Il voto finale è attribuito in trentesimi. </w:t>
            </w:r>
          </w:p>
        </w:tc>
      </w:tr>
      <w:tr w:rsidR="000762AF" w:rsidRPr="00172571" w14:paraId="2BCFF6CA" w14:textId="77777777" w:rsidTr="00EF4F5A">
        <w:trPr>
          <w:trHeight w:val="70"/>
        </w:trPr>
        <w:tc>
          <w:tcPr>
            <w:tcW w:w="1434" w:type="pct"/>
            <w:gridSpan w:val="2"/>
            <w:shd w:val="clear" w:color="auto" w:fill="B2A1C7"/>
          </w:tcPr>
          <w:p w14:paraId="2411E879" w14:textId="77777777" w:rsidR="000762AF" w:rsidRPr="00172571" w:rsidRDefault="000762AF" w:rsidP="00EF4F5A">
            <w:pPr>
              <w:spacing w:line="276" w:lineRule="auto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2571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Altro </w:t>
            </w:r>
          </w:p>
        </w:tc>
        <w:tc>
          <w:tcPr>
            <w:tcW w:w="3566" w:type="pct"/>
            <w:gridSpan w:val="6"/>
          </w:tcPr>
          <w:p w14:paraId="5E102107" w14:textId="77777777" w:rsidR="000762AF" w:rsidRPr="00172571" w:rsidRDefault="000762AF" w:rsidP="00EF4F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762AF" w:rsidRPr="00172571" w14:paraId="72DC6107" w14:textId="77777777" w:rsidTr="00EF4F5A">
        <w:trPr>
          <w:trHeight w:val="70"/>
        </w:trPr>
        <w:tc>
          <w:tcPr>
            <w:tcW w:w="1434" w:type="pct"/>
            <w:gridSpan w:val="2"/>
            <w:shd w:val="clear" w:color="auto" w:fill="FFFFFF"/>
          </w:tcPr>
          <w:p w14:paraId="643B76C7" w14:textId="77777777" w:rsidR="000762AF" w:rsidRPr="00172571" w:rsidRDefault="000762AF" w:rsidP="00EF4F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66" w:type="pct"/>
            <w:gridSpan w:val="6"/>
          </w:tcPr>
          <w:p w14:paraId="58489080" w14:textId="77777777" w:rsidR="000762AF" w:rsidRPr="00172571" w:rsidRDefault="000762AF" w:rsidP="00EF4F5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bookmarkEnd w:id="1"/>
    </w:tbl>
    <w:p w14:paraId="0B834447" w14:textId="77777777" w:rsidR="000762AF" w:rsidRPr="00172571" w:rsidRDefault="000762AF" w:rsidP="000762A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bookmarkEnd w:id="0"/>
    <w:p w14:paraId="45DF1FA6" w14:textId="77777777" w:rsidR="000762AF" w:rsidRPr="00172571" w:rsidRDefault="000762AF" w:rsidP="000762AF">
      <w:pPr>
        <w:rPr>
          <w:rFonts w:asciiTheme="minorHAnsi" w:hAnsiTheme="minorHAnsi" w:cstheme="minorHAnsi"/>
          <w:sz w:val="22"/>
          <w:szCs w:val="22"/>
        </w:rPr>
      </w:pPr>
    </w:p>
    <w:p w14:paraId="1BCE0490" w14:textId="77777777" w:rsidR="000762AF" w:rsidRPr="00172571" w:rsidRDefault="000762AF" w:rsidP="000762AF">
      <w:pPr>
        <w:rPr>
          <w:rFonts w:asciiTheme="minorHAnsi" w:hAnsiTheme="minorHAnsi" w:cstheme="minorHAnsi"/>
          <w:sz w:val="22"/>
          <w:szCs w:val="22"/>
        </w:rPr>
      </w:pPr>
    </w:p>
    <w:p w14:paraId="1C087466" w14:textId="77777777" w:rsidR="000762AF" w:rsidRPr="00172571" w:rsidRDefault="000762AF">
      <w:pPr>
        <w:rPr>
          <w:rFonts w:asciiTheme="minorHAnsi" w:hAnsiTheme="minorHAnsi" w:cstheme="minorHAnsi"/>
          <w:sz w:val="22"/>
          <w:szCs w:val="22"/>
        </w:rPr>
      </w:pPr>
    </w:p>
    <w:sectPr w:rsidR="000762AF" w:rsidRPr="00172571" w:rsidSect="000812EE">
      <w:headerReference w:type="default" r:id="rId5"/>
      <w:footerReference w:type="default" r:id="rId6"/>
      <w:pgSz w:w="11906" w:h="16838" w:code="9"/>
      <w:pgMar w:top="2234" w:right="1416" w:bottom="1843" w:left="1134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69FC" w14:textId="77777777" w:rsidR="00C550AD" w:rsidRDefault="00172571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</w:rPr>
    </w:pPr>
    <w:r>
      <w:rPr>
        <w:i/>
        <w:color w:val="000080"/>
      </w:rPr>
      <w:t>Dipartimento di Scienze Politiche</w:t>
    </w:r>
  </w:p>
  <w:p w14:paraId="2B19D5CB" w14:textId="77777777" w:rsidR="00C550AD" w:rsidRDefault="00172571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</w:rPr>
    </w:pPr>
    <w:r>
      <w:rPr>
        <w:i/>
        <w:color w:val="000080"/>
      </w:rPr>
      <w:t>Via Suppa n. 9 – 70121 Bari (Italia)</w:t>
    </w:r>
  </w:p>
  <w:p w14:paraId="192BA025" w14:textId="77777777" w:rsidR="00C550AD" w:rsidRPr="00471AE8" w:rsidRDefault="00172571" w:rsidP="00853A2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  <w:lang w:val="en-US"/>
      </w:rPr>
    </w:pPr>
    <w:r w:rsidRPr="00471AE8">
      <w:rPr>
        <w:i/>
        <w:color w:val="000080"/>
        <w:lang w:val="en-US"/>
      </w:rPr>
      <w:t xml:space="preserve">Tel ++39-080-5717703-7720-7809 </w:t>
    </w:r>
  </w:p>
  <w:p w14:paraId="39AB6549" w14:textId="77777777" w:rsidR="00C97967" w:rsidRPr="00471AE8" w:rsidRDefault="00172571" w:rsidP="00C9796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  <w:lang w:val="en-US"/>
      </w:rPr>
    </w:pPr>
    <w:r w:rsidRPr="00471AE8">
      <w:rPr>
        <w:i/>
        <w:color w:val="000080"/>
        <w:lang w:val="en-US"/>
      </w:rPr>
      <w:t xml:space="preserve">Mail: </w:t>
    </w:r>
    <w:hyperlink r:id="rId1" w:history="1">
      <w:r w:rsidRPr="00471AE8">
        <w:rPr>
          <w:rStyle w:val="Collegamentoipertestuale"/>
          <w:i/>
          <w:lang w:val="en-US"/>
        </w:rPr>
        <w:t>direzione.scienzepolitiche@uniba.it</w:t>
      </w:r>
    </w:hyperlink>
  </w:p>
  <w:p w14:paraId="7F59840C" w14:textId="77777777" w:rsidR="004F4D90" w:rsidRPr="001074F1" w:rsidRDefault="00172571" w:rsidP="00C9796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  <w:lang w:val="en-US"/>
      </w:rPr>
    </w:pPr>
    <w:r w:rsidRPr="001074F1">
      <w:rPr>
        <w:lang w:val="en-US"/>
      </w:rPr>
      <w:t xml:space="preserve">: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AA68C7" w14:paraId="76FA1965" w14:textId="77777777" w:rsidTr="00C244C1">
      <w:tc>
        <w:tcPr>
          <w:tcW w:w="5103" w:type="dxa"/>
          <w:shd w:val="clear" w:color="auto" w:fill="auto"/>
          <w:vAlign w:val="center"/>
        </w:tcPr>
        <w:p w14:paraId="4991D94F" w14:textId="77777777" w:rsidR="00AA68C7" w:rsidRDefault="00172571" w:rsidP="00C244C1">
          <w:pPr>
            <w:pStyle w:val="Intestazione"/>
          </w:pPr>
          <w:r>
            <w:rPr>
              <w:noProof/>
            </w:rPr>
            <w:drawing>
              <wp:inline distT="0" distB="0" distL="0" distR="0" wp14:anchorId="30B54F94" wp14:editId="36BA9BA9">
                <wp:extent cx="2182495" cy="733425"/>
                <wp:effectExtent l="0" t="0" r="8255" b="9525"/>
                <wp:docPr id="13" name="Immagine 13" descr="logoUNIB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UNIB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4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</w:tcPr>
        <w:p w14:paraId="7B4A9319" w14:textId="77777777" w:rsidR="00AA68C7" w:rsidRDefault="00172571" w:rsidP="00C244C1">
          <w:pPr>
            <w:pStyle w:val="Intestazione"/>
          </w:pPr>
          <w:r>
            <w:rPr>
              <w:noProof/>
            </w:rPr>
            <w:drawing>
              <wp:inline distT="0" distB="0" distL="0" distR="0" wp14:anchorId="2FF27365" wp14:editId="0341AABC">
                <wp:extent cx="2665730" cy="733425"/>
                <wp:effectExtent l="0" t="0" r="1270" b="9525"/>
                <wp:docPr id="14" name="Immagine 14" descr="logo_DISPO_CON SCRIT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ISPO_CON SCRIT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573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AD2682" w14:textId="77777777" w:rsidR="00C550AD" w:rsidRDefault="00172571" w:rsidP="000A7AE2">
    <w:pPr>
      <w:pStyle w:val="Intestazione"/>
      <w:tabs>
        <w:tab w:val="center" w:pos="17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12E50"/>
    <w:multiLevelType w:val="hybridMultilevel"/>
    <w:tmpl w:val="FEE43DB2"/>
    <w:lvl w:ilvl="0" w:tplc="D1309CB4">
      <w:start w:val="1"/>
      <w:numFmt w:val="bullet"/>
      <w:lvlText w:val="o"/>
      <w:lvlJc w:val="left"/>
      <w:pPr>
        <w:ind w:left="71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F50714E"/>
    <w:multiLevelType w:val="hybridMultilevel"/>
    <w:tmpl w:val="3F1C8EAE"/>
    <w:lvl w:ilvl="0" w:tplc="C7B2A6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61891"/>
    <w:multiLevelType w:val="multilevel"/>
    <w:tmpl w:val="D03AB91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0203B6"/>
    <w:multiLevelType w:val="hybridMultilevel"/>
    <w:tmpl w:val="F3D48D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10AED"/>
    <w:multiLevelType w:val="hybridMultilevel"/>
    <w:tmpl w:val="685602D2"/>
    <w:lvl w:ilvl="0" w:tplc="DD209F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60C11"/>
    <w:multiLevelType w:val="hybridMultilevel"/>
    <w:tmpl w:val="822EA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AF"/>
    <w:rsid w:val="000762AF"/>
    <w:rsid w:val="0017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6E9B"/>
  <w15:chartTrackingRefBased/>
  <w15:docId w15:val="{EE8A9C39-66D8-422C-BAA9-113AB53A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2A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762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2A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762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762A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Grigliamedia1-Colore21">
    <w:name w:val="Griglia media 1 - Colore 21"/>
    <w:basedOn w:val="Normale"/>
    <w:uiPriority w:val="34"/>
    <w:qFormat/>
    <w:rsid w:val="000762AF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762A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.scienzepolitiche@unib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Calefato</dc:creator>
  <cp:keywords/>
  <dc:description/>
  <cp:lastModifiedBy>Patrizia Calefato</cp:lastModifiedBy>
  <cp:revision>2</cp:revision>
  <dcterms:created xsi:type="dcterms:W3CDTF">2021-09-14T10:16:00Z</dcterms:created>
  <dcterms:modified xsi:type="dcterms:W3CDTF">2021-09-14T10:27:00Z</dcterms:modified>
</cp:coreProperties>
</file>