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90F3" w14:textId="77777777" w:rsidR="00204535" w:rsidRPr="00675284" w:rsidRDefault="00204535" w:rsidP="00204535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2"/>
          <w:szCs w:val="22"/>
        </w:rPr>
      </w:pPr>
    </w:p>
    <w:p w14:paraId="46839E4E" w14:textId="3B69DDB4" w:rsidR="00204535" w:rsidRPr="00675284" w:rsidRDefault="00204535" w:rsidP="00204535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2"/>
          <w:szCs w:val="22"/>
          <w:lang w:val="en-US"/>
        </w:rPr>
      </w:pPr>
      <w:r w:rsidRPr="00675284">
        <w:rPr>
          <w:rFonts w:ascii="Garamond" w:eastAsia="MS ??" w:hAnsi="Garamond" w:cs="Calibri"/>
          <w:b/>
          <w:color w:val="000000" w:themeColor="text1"/>
          <w:sz w:val="22"/>
          <w:szCs w:val="22"/>
          <w:lang w:val="en-US"/>
        </w:rPr>
        <w:t>COURSE OF STUDY</w:t>
      </w:r>
      <w:r w:rsidR="00675284" w:rsidRPr="00675284">
        <w:rPr>
          <w:rFonts w:ascii="Garamond" w:eastAsia="MS ??" w:hAnsi="Garamond" w:cs="Calibri"/>
          <w:b/>
          <w:color w:val="000000" w:themeColor="text1"/>
          <w:sz w:val="22"/>
          <w:szCs w:val="22"/>
          <w:lang w:val="en-US"/>
        </w:rPr>
        <w:t xml:space="preserve"> Modern Philology</w:t>
      </w:r>
    </w:p>
    <w:p w14:paraId="425D02FB" w14:textId="010B41A4" w:rsidR="00204535" w:rsidRPr="00675284" w:rsidRDefault="00204535" w:rsidP="00204535">
      <w:pPr>
        <w:overflowPunct/>
        <w:spacing w:line="276" w:lineRule="auto"/>
        <w:jc w:val="both"/>
        <w:rPr>
          <w:rFonts w:ascii="Garamond" w:eastAsia="MS ??" w:hAnsi="Garamond" w:cs="Calibri"/>
          <w:i/>
          <w:color w:val="000000" w:themeColor="text1"/>
          <w:sz w:val="22"/>
          <w:szCs w:val="22"/>
          <w:lang w:val="en-US"/>
        </w:rPr>
      </w:pPr>
      <w:r w:rsidRPr="00675284">
        <w:rPr>
          <w:rFonts w:ascii="Garamond" w:eastAsia="MS ??" w:hAnsi="Garamond" w:cs="Calibri"/>
          <w:b/>
          <w:color w:val="000000" w:themeColor="text1"/>
          <w:sz w:val="22"/>
          <w:szCs w:val="22"/>
          <w:lang w:val="en-US"/>
        </w:rPr>
        <w:t>ACADEMIC YEAR</w:t>
      </w:r>
      <w:r w:rsidRPr="00675284">
        <w:rPr>
          <w:rFonts w:ascii="Garamond" w:eastAsia="MS ??" w:hAnsi="Garamond" w:cs="Calibri"/>
          <w:i/>
          <w:color w:val="000000" w:themeColor="text1"/>
          <w:sz w:val="22"/>
          <w:szCs w:val="22"/>
          <w:lang w:val="en-US"/>
        </w:rPr>
        <w:t xml:space="preserve"> </w:t>
      </w:r>
      <w:r w:rsidR="00675284" w:rsidRPr="00675284">
        <w:rPr>
          <w:rFonts w:ascii="Garamond" w:eastAsia="MS ??" w:hAnsi="Garamond" w:cs="Calibri"/>
          <w:i/>
          <w:color w:val="000000" w:themeColor="text1"/>
          <w:sz w:val="22"/>
          <w:szCs w:val="22"/>
          <w:lang w:val="en-US"/>
        </w:rPr>
        <w:t>202</w:t>
      </w:r>
      <w:r w:rsidR="00256891">
        <w:rPr>
          <w:rFonts w:ascii="Garamond" w:eastAsia="MS ??" w:hAnsi="Garamond" w:cs="Calibri"/>
          <w:i/>
          <w:color w:val="000000" w:themeColor="text1"/>
          <w:sz w:val="22"/>
          <w:szCs w:val="22"/>
          <w:lang w:val="en-US"/>
        </w:rPr>
        <w:t>4</w:t>
      </w:r>
      <w:r w:rsidR="00675284" w:rsidRPr="00675284">
        <w:rPr>
          <w:rFonts w:ascii="Garamond" w:eastAsia="MS ??" w:hAnsi="Garamond" w:cs="Calibri"/>
          <w:i/>
          <w:color w:val="000000" w:themeColor="text1"/>
          <w:sz w:val="22"/>
          <w:szCs w:val="22"/>
          <w:lang w:val="en-US"/>
        </w:rPr>
        <w:t>-2</w:t>
      </w:r>
      <w:r w:rsidR="00256891">
        <w:rPr>
          <w:rFonts w:ascii="Garamond" w:eastAsia="MS ??" w:hAnsi="Garamond" w:cs="Calibri"/>
          <w:i/>
          <w:color w:val="000000" w:themeColor="text1"/>
          <w:sz w:val="22"/>
          <w:szCs w:val="22"/>
          <w:lang w:val="en-US"/>
        </w:rPr>
        <w:t>5</w:t>
      </w:r>
    </w:p>
    <w:p w14:paraId="05483F90" w14:textId="383CF66E" w:rsidR="00204535" w:rsidRPr="00675284" w:rsidRDefault="00204535" w:rsidP="00204535">
      <w:pPr>
        <w:overflowPunct/>
        <w:spacing w:line="276" w:lineRule="auto"/>
        <w:jc w:val="both"/>
        <w:rPr>
          <w:rFonts w:ascii="Garamond" w:eastAsia="MS ??" w:hAnsi="Garamond" w:cs="Calibri"/>
          <w:i/>
          <w:color w:val="000000" w:themeColor="text1"/>
          <w:sz w:val="22"/>
          <w:szCs w:val="22"/>
          <w:lang w:val="en-US"/>
        </w:rPr>
      </w:pPr>
      <w:r w:rsidRPr="00675284">
        <w:rPr>
          <w:rFonts w:ascii="Garamond" w:eastAsia="MS ??" w:hAnsi="Garamond" w:cs="Calibri"/>
          <w:b/>
          <w:color w:val="000000" w:themeColor="text1"/>
          <w:sz w:val="22"/>
          <w:szCs w:val="22"/>
          <w:lang w:val="en-US"/>
        </w:rPr>
        <w:t>ACADEMIC SUBJECT</w:t>
      </w:r>
      <w:r w:rsidR="00675284" w:rsidRPr="00675284">
        <w:rPr>
          <w:rFonts w:ascii="Garamond" w:eastAsia="MS ??" w:hAnsi="Garamond" w:cs="Calibri"/>
          <w:b/>
          <w:color w:val="000000" w:themeColor="text1"/>
          <w:sz w:val="22"/>
          <w:szCs w:val="22"/>
          <w:lang w:val="en-US"/>
        </w:rPr>
        <w:t xml:space="preserve"> German Literature</w:t>
      </w:r>
    </w:p>
    <w:p w14:paraId="3FBB2BC3" w14:textId="77777777" w:rsidR="00204535" w:rsidRPr="00675284" w:rsidRDefault="00204535" w:rsidP="00204535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2"/>
          <w:szCs w:val="22"/>
          <w:lang w:val="en-US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279"/>
        <w:gridCol w:w="47"/>
        <w:gridCol w:w="658"/>
        <w:gridCol w:w="1856"/>
        <w:gridCol w:w="2119"/>
        <w:gridCol w:w="927"/>
        <w:gridCol w:w="794"/>
      </w:tblGrid>
      <w:tr w:rsidR="00675284" w:rsidRPr="00675284" w14:paraId="06A9A80F" w14:textId="77777777" w:rsidTr="00753843">
        <w:tc>
          <w:tcPr>
            <w:tcW w:w="5000" w:type="pct"/>
            <w:gridSpan w:val="8"/>
            <w:shd w:val="clear" w:color="auto" w:fill="B2A1C7"/>
          </w:tcPr>
          <w:p w14:paraId="0A8AB761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>General information</w:t>
            </w:r>
          </w:p>
        </w:tc>
      </w:tr>
      <w:tr w:rsidR="00675284" w:rsidRPr="00675284" w14:paraId="5D8C4FCB" w14:textId="77777777" w:rsidTr="00753843">
        <w:tc>
          <w:tcPr>
            <w:tcW w:w="1486" w:type="pct"/>
            <w:gridSpan w:val="2"/>
          </w:tcPr>
          <w:p w14:paraId="35A0F42F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proofErr w:type="spellStart"/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Year</w:t>
            </w:r>
            <w:proofErr w:type="spellEnd"/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of the </w:t>
            </w:r>
            <w:proofErr w:type="spellStart"/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3514" w:type="pct"/>
            <w:gridSpan w:val="6"/>
          </w:tcPr>
          <w:p w14:paraId="7AC47368" w14:textId="4D0FE2C7" w:rsidR="00204535" w:rsidRPr="00675284" w:rsidRDefault="00675284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first</w:t>
            </w:r>
          </w:p>
        </w:tc>
      </w:tr>
      <w:tr w:rsidR="00675284" w:rsidRPr="00256891" w14:paraId="701332DF" w14:textId="77777777" w:rsidTr="00753843">
        <w:tc>
          <w:tcPr>
            <w:tcW w:w="1486" w:type="pct"/>
            <w:gridSpan w:val="2"/>
          </w:tcPr>
          <w:p w14:paraId="6ADE180D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Academic calendar (starting and ending date)</w:t>
            </w:r>
          </w:p>
        </w:tc>
        <w:tc>
          <w:tcPr>
            <w:tcW w:w="3514" w:type="pct"/>
            <w:gridSpan w:val="6"/>
          </w:tcPr>
          <w:p w14:paraId="654DADD8" w14:textId="2BB468C5" w:rsidR="00204535" w:rsidRPr="00675284" w:rsidRDefault="00675284" w:rsidP="00204535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Second term </w:t>
            </w:r>
          </w:p>
        </w:tc>
      </w:tr>
      <w:tr w:rsidR="00675284" w:rsidRPr="00675284" w14:paraId="29C164BA" w14:textId="77777777" w:rsidTr="00753843">
        <w:tc>
          <w:tcPr>
            <w:tcW w:w="1486" w:type="pct"/>
            <w:gridSpan w:val="2"/>
          </w:tcPr>
          <w:p w14:paraId="2B939B6F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Credits (CFU/ETCS):</w:t>
            </w:r>
          </w:p>
        </w:tc>
        <w:tc>
          <w:tcPr>
            <w:tcW w:w="3514" w:type="pct"/>
            <w:gridSpan w:val="6"/>
          </w:tcPr>
          <w:p w14:paraId="58BEC611" w14:textId="15AC6524" w:rsidR="00204535" w:rsidRPr="00675284" w:rsidRDefault="00675284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9</w:t>
            </w:r>
          </w:p>
        </w:tc>
      </w:tr>
      <w:tr w:rsidR="00675284" w:rsidRPr="00675284" w14:paraId="7F5CDCE4" w14:textId="77777777" w:rsidTr="00753843">
        <w:tc>
          <w:tcPr>
            <w:tcW w:w="1486" w:type="pct"/>
            <w:gridSpan w:val="2"/>
          </w:tcPr>
          <w:p w14:paraId="7B41F248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6"/>
          </w:tcPr>
          <w:p w14:paraId="2BF8B5A2" w14:textId="0D5E53B4" w:rsidR="00204535" w:rsidRPr="00675284" w:rsidRDefault="00675284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L-LIN/13</w:t>
            </w:r>
          </w:p>
        </w:tc>
      </w:tr>
      <w:tr w:rsidR="00675284" w:rsidRPr="00675284" w14:paraId="61249ED2" w14:textId="77777777" w:rsidTr="00753843">
        <w:tc>
          <w:tcPr>
            <w:tcW w:w="1486" w:type="pct"/>
            <w:gridSpan w:val="2"/>
          </w:tcPr>
          <w:p w14:paraId="28931D40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Language</w:t>
            </w:r>
          </w:p>
        </w:tc>
        <w:tc>
          <w:tcPr>
            <w:tcW w:w="3514" w:type="pct"/>
            <w:gridSpan w:val="6"/>
          </w:tcPr>
          <w:p w14:paraId="2ED5F4FF" w14:textId="49388A68" w:rsidR="00204535" w:rsidRPr="00675284" w:rsidRDefault="00675284" w:rsidP="00204535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Italian</w:t>
            </w:r>
            <w:proofErr w:type="spellEnd"/>
          </w:p>
        </w:tc>
      </w:tr>
      <w:tr w:rsidR="00675284" w:rsidRPr="00675284" w14:paraId="284B8763" w14:textId="77777777" w:rsidTr="00753843">
        <w:tc>
          <w:tcPr>
            <w:tcW w:w="1486" w:type="pct"/>
            <w:gridSpan w:val="2"/>
          </w:tcPr>
          <w:p w14:paraId="54EDC35E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Mode of </w:t>
            </w:r>
            <w:proofErr w:type="spellStart"/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attendance</w:t>
            </w:r>
            <w:proofErr w:type="spellEnd"/>
          </w:p>
        </w:tc>
        <w:tc>
          <w:tcPr>
            <w:tcW w:w="3514" w:type="pct"/>
            <w:gridSpan w:val="6"/>
          </w:tcPr>
          <w:p w14:paraId="406CC843" w14:textId="0E5B9798" w:rsidR="00204535" w:rsidRPr="00675284" w:rsidRDefault="00675284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The course attendance is not mandatory. It is ruled by art. 4.2 of the </w:t>
            </w:r>
            <w:proofErr w:type="spellStart"/>
            <w:proofErr w:type="gramStart"/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>Regolamento</w:t>
            </w:r>
            <w:proofErr w:type="spellEnd"/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>Didattico</w:t>
            </w:r>
            <w:proofErr w:type="spellEnd"/>
            <w:proofErr w:type="gramEnd"/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- Corso di </w:t>
            </w:r>
            <w:proofErr w:type="spellStart"/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>Laurea</w:t>
            </w:r>
            <w:proofErr w:type="spellEnd"/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>Filologia</w:t>
            </w:r>
            <w:proofErr w:type="spellEnd"/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Moderna.</w:t>
            </w:r>
          </w:p>
        </w:tc>
      </w:tr>
      <w:tr w:rsidR="00675284" w:rsidRPr="00675284" w14:paraId="0400DB9A" w14:textId="77777777" w:rsidTr="0075384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59AA8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B19FD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75284" w:rsidRPr="00675284" w14:paraId="371B5F0E" w14:textId="77777777" w:rsidTr="0075384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FF54A82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libri"/>
                <w:b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libri"/>
                <w:b/>
                <w:color w:val="000000" w:themeColor="text1"/>
                <w:sz w:val="22"/>
                <w:szCs w:val="22"/>
              </w:rPr>
              <w:t xml:space="preserve">Professor/ </w:t>
            </w:r>
            <w:proofErr w:type="spellStart"/>
            <w:r w:rsidRPr="00675284">
              <w:rPr>
                <w:rFonts w:ascii="Garamond" w:eastAsia="MS ??" w:hAnsi="Garamond" w:cs="Calibri"/>
                <w:b/>
                <w:color w:val="000000" w:themeColor="text1"/>
                <w:sz w:val="22"/>
                <w:szCs w:val="22"/>
              </w:rPr>
              <w:t>Lecturer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70383377" w14:textId="77777777" w:rsidR="00204535" w:rsidRPr="00675284" w:rsidRDefault="00204535" w:rsidP="00204535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75284" w:rsidRPr="00675284" w14:paraId="7D658CA5" w14:textId="77777777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01A7B9F" w14:textId="77777777" w:rsidR="00204535" w:rsidRPr="00675284" w:rsidRDefault="00204535" w:rsidP="00204535">
            <w:pPr>
              <w:overflowPunct/>
              <w:autoSpaceDE/>
              <w:autoSpaceDN/>
              <w:adjustRightInd/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 xml:space="preserve">Name and </w:t>
            </w:r>
            <w:proofErr w:type="spellStart"/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>Surname</w:t>
            </w:r>
            <w:proofErr w:type="spellEnd"/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03054CF2" w14:textId="450BACFB" w:rsidR="00204535" w:rsidRPr="00675284" w:rsidRDefault="00675284" w:rsidP="00204535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Lorella Bosco</w:t>
            </w:r>
          </w:p>
        </w:tc>
      </w:tr>
      <w:tr w:rsidR="00675284" w:rsidRPr="00675284" w14:paraId="2A5C6279" w14:textId="77777777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BD180A4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6F40F74E" w14:textId="7CE1A0E5" w:rsidR="00675284" w:rsidRPr="00675284" w:rsidRDefault="00675284" w:rsidP="0067528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lorella.bosco@uniba.it</w:t>
            </w:r>
          </w:p>
        </w:tc>
      </w:tr>
      <w:tr w:rsidR="00675284" w:rsidRPr="00675284" w14:paraId="4638108B" w14:textId="77777777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53A8E9B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>Telephone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227D9133" w14:textId="6E6E30F3" w:rsidR="00675284" w:rsidRPr="00675284" w:rsidRDefault="00675284" w:rsidP="0067528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0039-0805714014</w:t>
            </w:r>
          </w:p>
        </w:tc>
      </w:tr>
      <w:tr w:rsidR="00675284" w:rsidRPr="00675284" w14:paraId="20E95BEC" w14:textId="77777777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FDF751E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 xml:space="preserve">Department and </w:t>
            </w:r>
            <w:proofErr w:type="spellStart"/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>address</w:t>
            </w:r>
            <w:proofErr w:type="spellEnd"/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6A9CEAD2" w14:textId="06EEC09B" w:rsidR="00675284" w:rsidRPr="00675284" w:rsidRDefault="00506FFF" w:rsidP="0067528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Floor</w:t>
            </w:r>
            <w:proofErr w:type="spellEnd"/>
            <w:r w:rsidR="00675284" w:rsidRPr="0067528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675284" w:rsidRPr="00675284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Palazzo Ateneo, P.za Umberto I,1</w:t>
            </w:r>
          </w:p>
        </w:tc>
      </w:tr>
      <w:tr w:rsidR="00675284" w:rsidRPr="00675284" w14:paraId="7EA93D54" w14:textId="77777777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3783A36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</w:rPr>
              <w:t>Virtual room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26AECF6C" w14:textId="77777777" w:rsidR="00675284" w:rsidRPr="00675284" w:rsidRDefault="00000000" w:rsidP="00675284">
            <w:pPr>
              <w:overflowPunct/>
              <w:autoSpaceDE/>
              <w:autoSpaceDN/>
              <w:adjustRightInd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hyperlink r:id="rId8" w:history="1">
              <w:r w:rsidR="00675284" w:rsidRPr="00675284">
                <w:rPr>
                  <w:rStyle w:val="Collegamentoipertestuale"/>
                  <w:rFonts w:ascii="Garamond" w:hAnsi="Garamond"/>
                  <w:color w:val="000000" w:themeColor="text1"/>
                  <w:sz w:val="22"/>
                  <w:szCs w:val="22"/>
                </w:rPr>
                <w:t>https://www.uniba.it/it/docenti/bosco-carmela-lorella-ausilia</w:t>
              </w:r>
            </w:hyperlink>
          </w:p>
          <w:p w14:paraId="1B582E37" w14:textId="38141953" w:rsidR="00675284" w:rsidRPr="00675284" w:rsidRDefault="00675284" w:rsidP="00675284">
            <w:pPr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7528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Teams Virtual Room “Letteratura tedesca magistrale”: </w:t>
            </w:r>
            <w:r w:rsidRPr="0067528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FFF"/>
              </w:rPr>
              <w:t>t6r97dl</w:t>
            </w:r>
          </w:p>
          <w:p w14:paraId="265DFC6A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75284" w:rsidRPr="00675284" w14:paraId="788CFF66" w14:textId="77777777" w:rsidTr="0075384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DA2C304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libri"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  <w:lang w:val="en-US"/>
              </w:rPr>
              <w:t xml:space="preserve">Office Hours (and modalities: e.g., by appointment, </w:t>
            </w:r>
            <w:proofErr w:type="gramStart"/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  <w:lang w:val="en-US"/>
              </w:rPr>
              <w:t>on line</w:t>
            </w:r>
            <w:proofErr w:type="gramEnd"/>
            <w:r w:rsidRPr="00675284">
              <w:rPr>
                <w:rFonts w:ascii="Garamond" w:eastAsia="MS ??" w:hAnsi="Garamond" w:cs="Calibri"/>
                <w:color w:val="000000" w:themeColor="text1"/>
                <w:sz w:val="22"/>
                <w:szCs w:val="22"/>
                <w:lang w:val="en-US"/>
              </w:rPr>
              <w:t>, etc.)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2BED119D" w14:textId="77777777" w:rsidR="00675284" w:rsidRPr="00675284" w:rsidRDefault="00675284" w:rsidP="00675284">
            <w:pPr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Wednesday, 10-12</w:t>
            </w:r>
          </w:p>
          <w:p w14:paraId="282041E7" w14:textId="40C98F4D" w:rsidR="00675284" w:rsidRPr="00675284" w:rsidRDefault="00675284" w:rsidP="0067528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(office room)</w:t>
            </w:r>
          </w:p>
        </w:tc>
      </w:tr>
      <w:tr w:rsidR="00675284" w:rsidRPr="00675284" w14:paraId="5A86788C" w14:textId="77777777" w:rsidTr="0075384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EED01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7306F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9C978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2F4D0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center"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75284" w:rsidRPr="00675284" w14:paraId="5CAFBE7B" w14:textId="77777777" w:rsidTr="0075384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3CB7A68" w14:textId="77777777" w:rsidR="00675284" w:rsidRPr="00675284" w:rsidRDefault="00675284" w:rsidP="00675284">
            <w:pPr>
              <w:tabs>
                <w:tab w:val="left" w:pos="1624"/>
              </w:tabs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>Work schedule</w:t>
            </w:r>
            <w:r w:rsidRPr="00675284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6023E908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75284" w:rsidRPr="00675284" w14:paraId="65447040" w14:textId="77777777" w:rsidTr="00753843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5D2B6812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>Hours</w:t>
            </w:r>
          </w:p>
        </w:tc>
      </w:tr>
      <w:tr w:rsidR="00675284" w:rsidRPr="00256891" w14:paraId="7B1C8800" w14:textId="77777777" w:rsidTr="0075384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0D932ECE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77495C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proofErr w:type="spellStart"/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Lectures</w:t>
            </w:r>
            <w:proofErr w:type="spellEnd"/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4634ED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Hands-on (laboratory, workshops, working groups, seminars, field trips)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692E28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Out-of-class study hours/ Self-study hours</w:t>
            </w:r>
          </w:p>
        </w:tc>
      </w:tr>
      <w:tr w:rsidR="00675284" w:rsidRPr="00675284" w14:paraId="2C43A01C" w14:textId="77777777" w:rsidTr="0075384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109A4F2E" w14:textId="28191FA5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DC4FD6" w14:textId="10FE535C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EF7A17" w14:textId="6CD001D5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2BAAC8" w14:textId="513E4E24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162</w:t>
            </w:r>
          </w:p>
        </w:tc>
      </w:tr>
      <w:tr w:rsidR="00675284" w:rsidRPr="00675284" w14:paraId="05E904A5" w14:textId="77777777" w:rsidTr="00753843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396229C4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</w:rPr>
              <w:t>CFU/ETCS</w:t>
            </w:r>
          </w:p>
        </w:tc>
      </w:tr>
      <w:tr w:rsidR="00675284" w:rsidRPr="00675284" w14:paraId="5F4C3FE7" w14:textId="77777777" w:rsidTr="0075384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5763E982" w14:textId="62EBBEBE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020994" w14:textId="14141AF4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363513" w14:textId="4F7652A3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9F1097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75284" w:rsidRPr="00675284" w14:paraId="5ACEA3E1" w14:textId="77777777" w:rsidTr="0075384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3C72F6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30C61" w14:textId="77777777" w:rsidR="00675284" w:rsidRPr="00675284" w:rsidRDefault="00675284" w:rsidP="00675284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</w:rPr>
            </w:pPr>
          </w:p>
        </w:tc>
      </w:tr>
      <w:tr w:rsidR="00675284" w:rsidRPr="00675284" w14:paraId="61C4DD63" w14:textId="77777777" w:rsidTr="0075384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471C2E2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  <w:t xml:space="preserve">Learning </w:t>
            </w:r>
            <w:proofErr w:type="spellStart"/>
            <w:r w:rsidRPr="00675284"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  <w:t>Objectives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3DD0F9DE" w14:textId="77777777" w:rsidR="00675284" w:rsidRPr="003E7EFC" w:rsidRDefault="00675284" w:rsidP="0067528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t>The course will deal with relevant topics from the German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t>literary context. No preliminary knowledge of the German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t>language is required.</w:t>
            </w:r>
          </w:p>
          <w:p w14:paraId="5B4E3144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75284" w:rsidRPr="00256891" w14:paraId="343B7922" w14:textId="77777777" w:rsidTr="0075384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586DF714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  <w:t xml:space="preserve">Course </w:t>
            </w:r>
            <w:proofErr w:type="spellStart"/>
            <w:r w:rsidRPr="00675284"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3514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CFEAA03" w14:textId="77777777" w:rsidR="00675284" w:rsidRPr="003E7EFC" w:rsidRDefault="00675284" w:rsidP="0067528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t xml:space="preserve">Good knowledge of the outlines of the history of European culture, as acquired during the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BA</w:t>
            </w: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t xml:space="preserve"> years.</w:t>
            </w:r>
          </w:p>
          <w:p w14:paraId="0DACAB7C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75284" w:rsidRPr="00256891" w14:paraId="66B690DE" w14:textId="77777777" w:rsidTr="0075384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2D2F5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3F764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75284" w:rsidRPr="00256891" w14:paraId="166768A2" w14:textId="77777777" w:rsidTr="0075384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04E070D0" w14:textId="74016E50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75284"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  <w:t>Teaching</w:t>
            </w:r>
            <w:proofErr w:type="spellEnd"/>
            <w:r w:rsidRPr="00675284"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  <w:t xml:space="preserve"> strateg</w:t>
            </w:r>
            <w:r>
              <w:rPr>
                <w:rFonts w:ascii="Garamond" w:eastAsia="MS ??" w:hAnsi="Garamond" w:cs="Calibri"/>
                <w:b/>
                <w:bCs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62206D3F" w14:textId="77777777" w:rsidR="00675284" w:rsidRPr="00A959B7" w:rsidRDefault="00675284" w:rsidP="0067528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A959B7">
              <w:rPr>
                <w:rFonts w:ascii="Garamond" w:hAnsi="Garamond"/>
                <w:sz w:val="22"/>
                <w:szCs w:val="22"/>
                <w:lang w:val="en-US"/>
              </w:rPr>
              <w:t>Lectures, seminars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, workshops</w:t>
            </w:r>
            <w:r w:rsidRPr="00A959B7">
              <w:rPr>
                <w:rFonts w:ascii="Garamond" w:hAnsi="Garamond"/>
                <w:sz w:val="22"/>
                <w:szCs w:val="22"/>
                <w:lang w:val="en-US"/>
              </w:rPr>
              <w:t>. Students will also be expected to actively participate in the classes.</w:t>
            </w:r>
          </w:p>
          <w:p w14:paraId="31549F13" w14:textId="77777777" w:rsidR="00675284" w:rsidRPr="00675284" w:rsidRDefault="00675284" w:rsidP="0067528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75284" w:rsidRPr="00256891" w14:paraId="4C9E24D4" w14:textId="77777777" w:rsidTr="0075384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825C254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675284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  <w:lang w:val="en-GB"/>
              </w:rPr>
              <w:t>Expected learning outcomes in terms of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7B9CE22F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75284" w:rsidRPr="00256891" w14:paraId="7D5B1E28" w14:textId="77777777" w:rsidTr="0075384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9F7A750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</w:pPr>
            <w:r w:rsidRPr="00675284">
              <w:rPr>
                <w:rFonts w:ascii="Garamond" w:eastAsia="MS Mincho" w:hAnsi="Garamond" w:cs="Cambria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>Knowledge and understanding on:</w:t>
            </w:r>
          </w:p>
        </w:tc>
        <w:tc>
          <w:tcPr>
            <w:tcW w:w="3514" w:type="pct"/>
            <w:gridSpan w:val="6"/>
          </w:tcPr>
          <w:p w14:paraId="46E25108" w14:textId="77777777" w:rsidR="00675284" w:rsidRPr="00C56395" w:rsidRDefault="00675284" w:rsidP="0067528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C56395">
              <w:rPr>
                <w:rFonts w:ascii="Garamond" w:hAnsi="Garamond"/>
                <w:sz w:val="22"/>
                <w:szCs w:val="22"/>
                <w:lang w:val="en-US"/>
              </w:rPr>
              <w:t>Knowledge and understanding - the student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C56395">
              <w:rPr>
                <w:rFonts w:ascii="Garamond" w:hAnsi="Garamond"/>
                <w:sz w:val="22"/>
                <w:szCs w:val="22"/>
                <w:lang w:val="en-US"/>
              </w:rPr>
              <w:t xml:space="preserve"> will be expected to have developed a knowledge and understanding of selected cultural issues, </w:t>
            </w:r>
            <w:r w:rsidRPr="00C56395">
              <w:rPr>
                <w:rFonts w:ascii="Garamond" w:hAnsi="Garamond"/>
                <w:sz w:val="22"/>
                <w:szCs w:val="22"/>
                <w:lang w:val="en-US"/>
              </w:rPr>
              <w:lastRenderedPageBreak/>
              <w:t>core theories, and concepts, and selected primary and secondary material in the discipline of German literary studies.</w:t>
            </w:r>
          </w:p>
          <w:p w14:paraId="20A1E1AB" w14:textId="113F5D13" w:rsidR="00675284" w:rsidRPr="00675284" w:rsidRDefault="00675284" w:rsidP="00675284">
            <w:pPr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Garamond" w:eastAsia="MS ??" w:hAnsi="Garamond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75284" w:rsidRPr="00256891" w14:paraId="1F724CEC" w14:textId="77777777" w:rsidTr="0075384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BA0D7D9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</w:pPr>
            <w:r w:rsidRPr="00675284">
              <w:rPr>
                <w:rFonts w:ascii="Garamond" w:eastAsia="MS Mincho" w:hAnsi="Garamond" w:cs="Cambria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Applying knowledge and understanding on: </w:t>
            </w:r>
          </w:p>
        </w:tc>
        <w:tc>
          <w:tcPr>
            <w:tcW w:w="3514" w:type="pct"/>
            <w:gridSpan w:val="6"/>
          </w:tcPr>
          <w:p w14:paraId="38FE171B" w14:textId="77777777" w:rsidR="00675284" w:rsidRPr="00C56395" w:rsidRDefault="00675284" w:rsidP="0067528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C56395">
              <w:rPr>
                <w:rFonts w:ascii="Garamond" w:hAnsi="Garamond"/>
                <w:sz w:val="22"/>
                <w:szCs w:val="22"/>
                <w:lang w:val="en-US"/>
              </w:rPr>
              <w:t>Applying knowledge and understanding - Students will be expected to apply their knowledge and understanding to a range of professional skills,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C56395">
              <w:rPr>
                <w:rFonts w:ascii="Garamond" w:hAnsi="Garamond"/>
                <w:sz w:val="22"/>
                <w:szCs w:val="22"/>
                <w:lang w:val="en-US"/>
              </w:rPr>
              <w:t>techniques and practices associated with the subject of German literary studies.</w:t>
            </w:r>
          </w:p>
          <w:p w14:paraId="70F91A49" w14:textId="22F55657" w:rsidR="00675284" w:rsidRPr="00675284" w:rsidRDefault="00675284" w:rsidP="0067528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??" w:hAnsi="Garamond" w:cs="ArialMT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75284" w:rsidRPr="00256891" w14:paraId="77182622" w14:textId="77777777" w:rsidTr="0075384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EFDAA82" w14:textId="77777777" w:rsidR="00675284" w:rsidRPr="00675284" w:rsidRDefault="00675284" w:rsidP="00675284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Mincho" w:hAnsi="Garamond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</w:pPr>
            <w:r w:rsidRPr="00675284">
              <w:rPr>
                <w:rFonts w:ascii="Garamond" w:eastAsia="MS Mincho" w:hAnsi="Garamond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>Soft skills</w:t>
            </w:r>
          </w:p>
        </w:tc>
        <w:tc>
          <w:tcPr>
            <w:tcW w:w="3514" w:type="pct"/>
            <w:gridSpan w:val="6"/>
          </w:tcPr>
          <w:p w14:paraId="3F3312BB" w14:textId="77777777" w:rsidR="00675284" w:rsidRPr="00802E27" w:rsidRDefault="00675284" w:rsidP="00675284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 xml:space="preserve">Making informed judgements and choices - the student will be expected to make informed judgements and choices by undertaking critical analysis, evaluation and/synthesis of ideas, concepts, information and issues that are within the discipline of German literary studies, drawing on a range of sources in making judgements, and identifying and </w:t>
            </w:r>
            <w:proofErr w:type="spellStart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analysing</w:t>
            </w:r>
            <w:proofErr w:type="spellEnd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 xml:space="preserve"> problems and issues.</w:t>
            </w: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br/>
              <w:t>Communicating knowledge and understanding - the student will be expected to be able to use a wide range of skills associated with German literary studies to convey complex information.</w:t>
            </w:r>
          </w:p>
          <w:p w14:paraId="256272EA" w14:textId="77777777" w:rsidR="00675284" w:rsidRPr="00802E27" w:rsidRDefault="00675284" w:rsidP="00675284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Ability to continue learning - the student will be expected to demonstrate an ability to continue to develop his/her acquired skills by attending the classes or studying at home.</w:t>
            </w:r>
          </w:p>
          <w:p w14:paraId="0A6245B0" w14:textId="3EEDADD8" w:rsidR="00675284" w:rsidRPr="00675284" w:rsidRDefault="00675284" w:rsidP="00675284">
            <w:p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Garamond" w:eastAsia="MS ??" w:hAnsi="Garamond" w:cs="ArialMT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75284" w:rsidRPr="00675284" w14:paraId="4D54D647" w14:textId="77777777" w:rsidTr="00753843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747BE534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Mincho" w:hAnsi="Garamond" w:cs="Cambri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75284">
              <w:rPr>
                <w:rFonts w:ascii="Garamond" w:eastAsia="MS Mincho" w:hAnsi="Garamond" w:cs="Cambria"/>
                <w:b/>
                <w:i/>
                <w:color w:val="000000" w:themeColor="text1"/>
                <w:sz w:val="22"/>
                <w:szCs w:val="22"/>
              </w:rPr>
              <w:t>Syllabus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A593" w14:textId="43706080" w:rsidR="000B2EA8" w:rsidRPr="000B2EA8" w:rsidRDefault="000B2EA8" w:rsidP="000B2EA8">
            <w:pPr>
              <w:overflowPunct/>
              <w:autoSpaceDE/>
              <w:autoSpaceDN/>
              <w:adjustRightInd/>
              <w:ind w:left="360" w:hanging="360"/>
              <w:contextualSpacing/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  <w:lang w:val="en-GB"/>
              </w:rPr>
            </w:pPr>
            <w:r w:rsidRPr="000B2EA8"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  <w:lang w:val="en-GB"/>
              </w:rPr>
              <w:t xml:space="preserve">(Re)Defining the Canon: Female Authors </w:t>
            </w:r>
            <w:r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  <w:lang w:val="en-GB"/>
              </w:rPr>
              <w:t>and</w:t>
            </w:r>
            <w:r w:rsidRPr="000B2EA8"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  <w:lang w:val="en-GB"/>
              </w:rPr>
              <w:t xml:space="preserve"> the German</w:t>
            </w:r>
          </w:p>
          <w:p w14:paraId="5014E9A9" w14:textId="7E84FE5F" w:rsidR="00675284" w:rsidRPr="00675284" w:rsidRDefault="000B2EA8" w:rsidP="000B2EA8">
            <w:pPr>
              <w:overflowPunct/>
              <w:autoSpaceDE/>
              <w:autoSpaceDN/>
              <w:adjustRightInd/>
              <w:ind w:left="360" w:hanging="360"/>
              <w:contextualSpacing/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  <w:lang w:val="en-GB"/>
              </w:rPr>
            </w:pPr>
            <w:r w:rsidRPr="000B2EA8"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  <w:lang w:val="en-GB"/>
              </w:rPr>
              <w:t xml:space="preserve">Language </w:t>
            </w:r>
            <w:proofErr w:type="spellStart"/>
            <w:r w:rsidRPr="000B2EA8"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  <w:lang w:val="en-GB"/>
              </w:rPr>
              <w:t>Literatur</w:t>
            </w:r>
            <w:proofErr w:type="spellEnd"/>
          </w:p>
        </w:tc>
      </w:tr>
      <w:tr w:rsidR="00675284" w:rsidRPr="000B2EA8" w14:paraId="66A121B8" w14:textId="77777777" w:rsidTr="0075384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AD527C" w14:textId="77777777" w:rsidR="00675284" w:rsidRPr="00675284" w:rsidRDefault="00675284" w:rsidP="0067528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75284">
              <w:rPr>
                <w:rFonts w:ascii="Garamond" w:eastAsia="MS ??" w:hAnsi="Garamond" w:cs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>Content knowledge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D48B78" w14:textId="77777777" w:rsidR="004958F4" w:rsidRPr="004958F4" w:rsidRDefault="004958F4" w:rsidP="004958F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958F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>The course will deal with relevant topics from the German</w:t>
            </w:r>
          </w:p>
          <w:p w14:paraId="7FF74226" w14:textId="77777777" w:rsidR="004958F4" w:rsidRPr="004958F4" w:rsidRDefault="004958F4" w:rsidP="004958F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958F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US"/>
              </w:rPr>
              <w:t>literary context. No preliminary knowledge of the German</w:t>
            </w:r>
          </w:p>
          <w:p w14:paraId="76424013" w14:textId="4BB1978D" w:rsidR="00675284" w:rsidRPr="000B2EA8" w:rsidRDefault="004958F4" w:rsidP="004958F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958F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language</w:t>
            </w:r>
            <w:proofErr w:type="spellEnd"/>
            <w:r w:rsidRPr="004958F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8F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958F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58F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required</w:t>
            </w:r>
            <w:proofErr w:type="spellEnd"/>
            <w:r w:rsidRPr="004958F4"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B2EA8" w:rsidRPr="00675284" w14:paraId="0005AC3B" w14:textId="77777777" w:rsidTr="0075384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9783C2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Texts and readings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14BFC5" w14:textId="77777777" w:rsidR="004958F4" w:rsidRPr="004958F4" w:rsidRDefault="004958F4" w:rsidP="004958F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An anthology of selected poems by some of the most relevant</w:t>
            </w:r>
          </w:p>
          <w:p w14:paraId="2E0DC5C7" w14:textId="77777777" w:rsidR="004958F4" w:rsidRPr="004958F4" w:rsidRDefault="004958F4" w:rsidP="004958F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female authors from the 19th and the 20th century (Caroline von</w:t>
            </w:r>
          </w:p>
          <w:p w14:paraId="61693BA2" w14:textId="77777777" w:rsidR="004958F4" w:rsidRPr="004958F4" w:rsidRDefault="004958F4" w:rsidP="004958F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  <w:proofErr w:type="spellStart"/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Günderrode</w:t>
            </w:r>
            <w:proofErr w:type="spellEnd"/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 Marianne </w:t>
            </w:r>
            <w:proofErr w:type="spellStart"/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Willemer</w:t>
            </w:r>
            <w:proofErr w:type="spellEnd"/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, Annette von </w:t>
            </w:r>
            <w:proofErr w:type="spellStart"/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Droste-Hülshoff</w:t>
            </w:r>
            <w:proofErr w:type="spellEnd"/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,</w:t>
            </w:r>
          </w:p>
          <w:p w14:paraId="1D21959D" w14:textId="77777777" w:rsidR="004958F4" w:rsidRPr="004958F4" w:rsidRDefault="004958F4" w:rsidP="004958F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Else Lasker-</w:t>
            </w:r>
            <w:proofErr w:type="spellStart"/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Schüler</w:t>
            </w:r>
            <w:proofErr w:type="spellEnd"/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>, Gertrud Kolmar, Nelly Sachs, Ingeborg</w:t>
            </w:r>
          </w:p>
          <w:p w14:paraId="402C2A44" w14:textId="6C6D105E" w:rsidR="000B2EA8" w:rsidRDefault="004958F4" w:rsidP="004958F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Bachmann) will be </w:t>
            </w:r>
            <w:proofErr w:type="gramStart"/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available </w:t>
            </w:r>
            <w:r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 at</w:t>
            </w:r>
            <w:proofErr w:type="gramEnd"/>
            <w:r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  <w:t xml:space="preserve"> the beginning of the course.</w:t>
            </w:r>
          </w:p>
          <w:p w14:paraId="0E032F54" w14:textId="77777777" w:rsidR="004958F4" w:rsidRDefault="004958F4" w:rsidP="004958F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lang w:val="en-US"/>
              </w:rPr>
            </w:pPr>
          </w:p>
          <w:p w14:paraId="1E93B7A6" w14:textId="2F22CFD4" w:rsidR="004958F4" w:rsidRPr="004958F4" w:rsidRDefault="004958F4" w:rsidP="004958F4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u w:val="single"/>
                <w:lang w:val="en-US"/>
              </w:rPr>
            </w:pPr>
            <w:r w:rsidRPr="004958F4">
              <w:rPr>
                <w:rFonts w:ascii="Garamond" w:eastAsia="MS ??" w:hAnsi="Garamond" w:cs="Cambria"/>
                <w:color w:val="000000" w:themeColor="text1"/>
                <w:sz w:val="20"/>
                <w:u w:val="single"/>
                <w:lang w:val="en-US"/>
              </w:rPr>
              <w:t>Primary sources</w:t>
            </w:r>
          </w:p>
          <w:p w14:paraId="795E5C20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Emmy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Hennings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Prigione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tr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.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it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. di Marco Federici Solari, L’Orma</w:t>
            </w:r>
          </w:p>
          <w:p w14:paraId="34012745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Editore, Roma 2019.</w:t>
            </w:r>
          </w:p>
          <w:p w14:paraId="2B4C4E6C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Emmy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Hennings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Vivo nel forse. Poesia e prosa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tr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.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it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. di Lorella Bosco e</w:t>
            </w:r>
          </w:p>
          <w:p w14:paraId="29693C3C" w14:textId="77777777" w:rsidR="000B2EA8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Daniela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Padularosa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, Castelvecchi, Roma 2021</w:t>
            </w: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>.</w:t>
            </w:r>
          </w:p>
          <w:p w14:paraId="453889B6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Emmy </w:t>
            </w:r>
            <w:proofErr w:type="spellStart"/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>Hennings</w:t>
            </w:r>
            <w:proofErr w:type="spellEnd"/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Il marchio</w:t>
            </w: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traduzione </w:t>
            </w:r>
            <w:proofErr w:type="gramStart"/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>e  cura</w:t>
            </w:r>
            <w:proofErr w:type="gramEnd"/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 di Lorella Bosco, Castelvecchi, Roma 2024 (in corso di stampa).</w:t>
            </w:r>
          </w:p>
          <w:p w14:paraId="2507E2A3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Else Lasker-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Schüler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Il mio cuore e altri scritti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, a cura di M. Gigliotti e</w:t>
            </w:r>
          </w:p>
          <w:p w14:paraId="3A8E40AF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Pedotti, Giunti, Firenze 1990 (sarà messo a disposizione all’inizio del</w:t>
            </w:r>
          </w:p>
          <w:p w14:paraId="7E545FA0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corso).</w:t>
            </w:r>
          </w:p>
          <w:p w14:paraId="05E5661A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Irmgard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Keun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Doris. La ragazza misto seta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tr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.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it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. di Vincenzo Gallico,</w:t>
            </w:r>
          </w:p>
          <w:p w14:paraId="4C8AB95A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L’Orma Editore, Roma 2017.</w:t>
            </w:r>
          </w:p>
          <w:p w14:paraId="00F59D99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Anna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Seghers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Transito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,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tr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.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it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. di Eusebio Trabucchi, L’Orma Editore,</w:t>
            </w:r>
          </w:p>
          <w:p w14:paraId="69AB9946" w14:textId="77777777" w:rsidR="000B2EA8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Roma 2020.</w:t>
            </w:r>
          </w:p>
          <w:p w14:paraId="38BE899C" w14:textId="77777777" w:rsidR="000B2EA8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</w:p>
          <w:p w14:paraId="00B1E4D7" w14:textId="34C465CD" w:rsidR="000B2EA8" w:rsidRDefault="004958F4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u w:val="single"/>
              </w:rPr>
            </w:pPr>
            <w:proofErr w:type="spellStart"/>
            <w:r>
              <w:rPr>
                <w:rFonts w:ascii="Garamond" w:eastAsia="MS ??" w:hAnsi="Garamond" w:cs="Cambria"/>
                <w:color w:val="000000" w:themeColor="text1"/>
                <w:sz w:val="20"/>
                <w:u w:val="single"/>
              </w:rPr>
              <w:t>Secondary</w:t>
            </w:r>
            <w:proofErr w:type="spellEnd"/>
            <w:r>
              <w:rPr>
                <w:rFonts w:ascii="Garamond" w:eastAsia="MS ??" w:hAnsi="Garamond" w:cs="Cambria"/>
                <w:color w:val="000000" w:themeColor="text1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Garamond" w:eastAsia="MS ??" w:hAnsi="Garamond" w:cs="Cambria"/>
                <w:color w:val="000000" w:themeColor="text1"/>
                <w:sz w:val="20"/>
                <w:u w:val="single"/>
              </w:rPr>
              <w:t>courses</w:t>
            </w:r>
            <w:proofErr w:type="spellEnd"/>
          </w:p>
          <w:p w14:paraId="43A4C44D" w14:textId="77777777" w:rsidR="000B2EA8" w:rsidRPr="00BD0E24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  <w:u w:val="single"/>
              </w:rPr>
            </w:pPr>
          </w:p>
          <w:p w14:paraId="230BA0A8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Anna </w:t>
            </w:r>
            <w:proofErr w:type="spellStart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Chiarloni</w:t>
            </w:r>
            <w:proofErr w:type="spellEnd"/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 (a cura di), </w:t>
            </w:r>
            <w:r w:rsidRPr="00E16FD2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La poesia tedesca del Novecento</w:t>
            </w: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, Laterza, Bari-</w:t>
            </w:r>
          </w:p>
          <w:p w14:paraId="101F1471" w14:textId="77777777" w:rsidR="000B2EA8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 w:rsidRPr="00E16FD2">
              <w:rPr>
                <w:rFonts w:ascii="Garamond" w:eastAsia="MS ??" w:hAnsi="Garamond" w:cs="Cambria"/>
                <w:color w:val="000000" w:themeColor="text1"/>
                <w:sz w:val="20"/>
              </w:rPr>
              <w:t>Roma 2009.</w:t>
            </w:r>
          </w:p>
          <w:p w14:paraId="135FEA80" w14:textId="77777777" w:rsidR="000B2EA8" w:rsidRPr="00E16FD2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 xml:space="preserve">Lucia Perrone Capano, </w:t>
            </w:r>
            <w:r w:rsidRPr="00E2634E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 xml:space="preserve">Revisioni della modernità nell’opera di </w:t>
            </w:r>
            <w:proofErr w:type="spellStart"/>
            <w:r w:rsidRPr="00E2634E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Irmgard</w:t>
            </w:r>
            <w:proofErr w:type="spellEnd"/>
            <w:r w:rsidRPr="00E2634E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E2634E">
              <w:rPr>
                <w:rFonts w:ascii="Garamond" w:eastAsia="MS ??" w:hAnsi="Garamond" w:cs="Cambria"/>
                <w:i/>
                <w:iCs/>
                <w:color w:val="000000" w:themeColor="text1"/>
                <w:sz w:val="20"/>
              </w:rPr>
              <w:t>Keun</w:t>
            </w:r>
            <w:proofErr w:type="spellEnd"/>
            <w:r>
              <w:rPr>
                <w:rFonts w:ascii="Garamond" w:eastAsia="MS ??" w:hAnsi="Garamond" w:cs="Cambria"/>
                <w:color w:val="000000" w:themeColor="text1"/>
                <w:sz w:val="20"/>
              </w:rPr>
              <w:t>, Artemide, Roma 2019, pp. 7-17, 57-98.</w:t>
            </w:r>
          </w:p>
          <w:p w14:paraId="25A6833E" w14:textId="77777777" w:rsidR="000B2EA8" w:rsidRPr="00675284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B2EA8" w:rsidRPr="00675284" w14:paraId="001A5153" w14:textId="77777777" w:rsidTr="0075384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AD0A94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Notes, additional materials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53D4AD" w14:textId="77777777" w:rsidR="004958F4" w:rsidRPr="00DC6908" w:rsidRDefault="004958F4" w:rsidP="004958F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  <w:r w:rsidRPr="00DC6908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Selected essays on the course topics will be also available online</w:t>
            </w:r>
          </w:p>
          <w:p w14:paraId="2D7BC3FB" w14:textId="13F03041" w:rsidR="000B2EA8" w:rsidRPr="00675284" w:rsidRDefault="004958F4" w:rsidP="004958F4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0"/>
              </w:rPr>
            </w:pPr>
            <w:proofErr w:type="spellStart"/>
            <w:r w:rsidRPr="00DC690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C690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DC690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teacher’s</w:t>
            </w:r>
            <w:proofErr w:type="spellEnd"/>
            <w:r w:rsidRPr="00DC690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 xml:space="preserve"> homepage</w:t>
            </w:r>
            <w:r w:rsidR="00DC6908" w:rsidRPr="00DC6908">
              <w:rPr>
                <w:rFonts w:ascii="Garamond" w:eastAsia="MS ??" w:hAnsi="Garamond" w:cs="Cambria"/>
                <w:color w:val="000000" w:themeColor="text1"/>
                <w:sz w:val="22"/>
                <w:szCs w:val="22"/>
              </w:rPr>
              <w:t>.</w:t>
            </w:r>
          </w:p>
        </w:tc>
      </w:tr>
      <w:tr w:rsidR="000B2EA8" w:rsidRPr="00256891" w14:paraId="0BB54905" w14:textId="77777777" w:rsidTr="0075384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CAE882A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75284">
              <w:rPr>
                <w:rFonts w:ascii="Garamond" w:eastAsia="MS ??" w:hAnsi="Garamond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Repository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24A4B5BE" w14:textId="75F16F47" w:rsidR="000B2EA8" w:rsidRPr="008F5552" w:rsidRDefault="000B2EA8" w:rsidP="000B2EA8">
            <w:pPr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  <w:r w:rsidRPr="008F5552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 xml:space="preserve">The course materials will be available on the teacher’s homepage (under: </w:t>
            </w:r>
            <w:proofErr w:type="spellStart"/>
            <w:r w:rsidRPr="008F5552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Didattica</w:t>
            </w:r>
            <w:proofErr w:type="spellEnd"/>
            <w:r w:rsidRPr="008F5552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) e in the Teams class “</w:t>
            </w:r>
            <w:proofErr w:type="spellStart"/>
            <w:r w:rsidRPr="008F5552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Letteratura</w:t>
            </w:r>
            <w:proofErr w:type="spellEnd"/>
            <w:r w:rsidRPr="008F5552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552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>tedesca</w:t>
            </w:r>
            <w:proofErr w:type="spellEnd"/>
            <w:r w:rsidRPr="008F5552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 xml:space="preserve">” (access code: </w:t>
            </w:r>
            <w:r w:rsidRPr="008F5552">
              <w:rPr>
                <w:rFonts w:ascii="Garamond" w:hAnsi="Garamond"/>
                <w:color w:val="000000" w:themeColor="text1"/>
                <w:sz w:val="20"/>
                <w:shd w:val="clear" w:color="auto" w:fill="FFFFFF"/>
                <w:lang w:val="en-US"/>
              </w:rPr>
              <w:t>t6r97dl</w:t>
            </w:r>
            <w:r w:rsidRPr="008F5552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  <w:t xml:space="preserve">). </w:t>
            </w:r>
          </w:p>
          <w:p w14:paraId="5EA83A00" w14:textId="3CB9848D" w:rsidR="000B2EA8" w:rsidRPr="008F5552" w:rsidRDefault="000B2EA8" w:rsidP="000B2EA8">
            <w:pPr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US"/>
              </w:rPr>
            </w:pPr>
            <w:r w:rsidRPr="008F5552">
              <w:rPr>
                <w:rFonts w:ascii="Garamond" w:hAnsi="Garamond"/>
                <w:sz w:val="22"/>
                <w:szCs w:val="22"/>
                <w:lang w:val="en-US"/>
              </w:rPr>
              <w:t>Students who are not able to attend the course are required to contact the teacher for further study material.</w:t>
            </w:r>
          </w:p>
          <w:p w14:paraId="1EAA70C7" w14:textId="5D8078BC" w:rsidR="000B2EA8" w:rsidRPr="00675284" w:rsidRDefault="000B2EA8" w:rsidP="000B2EA8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0B2EA8" w:rsidRPr="00256891" w14:paraId="3D13F7CF" w14:textId="77777777" w:rsidTr="00675284">
        <w:trPr>
          <w:trHeight w:val="70"/>
        </w:trPr>
        <w:tc>
          <w:tcPr>
            <w:tcW w:w="151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44BEFB07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88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DB11232" w14:textId="77777777" w:rsidR="000B2EA8" w:rsidRPr="00675284" w:rsidRDefault="000B2EA8" w:rsidP="000B2EA8">
            <w:pPr>
              <w:overflowPunct/>
              <w:rPr>
                <w:rFonts w:ascii="Garamond" w:eastAsia="MS ??" w:hAnsi="Garamond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B2EA8" w:rsidRPr="00675284" w14:paraId="7F406C67" w14:textId="77777777" w:rsidTr="00675284">
        <w:trPr>
          <w:trHeight w:val="70"/>
        </w:trPr>
        <w:tc>
          <w:tcPr>
            <w:tcW w:w="1512" w:type="pct"/>
            <w:gridSpan w:val="3"/>
            <w:shd w:val="clear" w:color="auto" w:fill="B2A1C7"/>
          </w:tcPr>
          <w:p w14:paraId="42168C8D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Mincho" w:hAnsi="Garamond" w:cs="Cambria"/>
                <w:b/>
                <w:color w:val="000000" w:themeColor="text1"/>
                <w:sz w:val="22"/>
                <w:szCs w:val="22"/>
                <w:lang w:val="en-GB"/>
              </w:rPr>
            </w:pPr>
            <w:bookmarkStart w:id="0" w:name="_Hlk77437923"/>
            <w:r w:rsidRPr="00675284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  <w:lang w:val="en-GB"/>
              </w:rPr>
              <w:t xml:space="preserve">Assessment </w:t>
            </w:r>
          </w:p>
        </w:tc>
        <w:tc>
          <w:tcPr>
            <w:tcW w:w="3488" w:type="pct"/>
            <w:gridSpan w:val="5"/>
          </w:tcPr>
          <w:p w14:paraId="761ADA95" w14:textId="77777777" w:rsidR="000B2EA8" w:rsidRPr="00675284" w:rsidRDefault="000B2EA8" w:rsidP="000B2EA8">
            <w:pPr>
              <w:overflowPunct/>
              <w:rPr>
                <w:rFonts w:ascii="Garamond" w:eastAsia="MS ??" w:hAnsi="Garamond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B2EA8" w:rsidRPr="00256891" w14:paraId="689626DD" w14:textId="77777777" w:rsidTr="00675284">
        <w:trPr>
          <w:trHeight w:val="70"/>
        </w:trPr>
        <w:tc>
          <w:tcPr>
            <w:tcW w:w="1512" w:type="pct"/>
            <w:gridSpan w:val="3"/>
            <w:shd w:val="clear" w:color="auto" w:fill="FFFFFF"/>
          </w:tcPr>
          <w:p w14:paraId="658BA95F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  <w:t>Assessment methods</w:t>
            </w:r>
          </w:p>
        </w:tc>
        <w:tc>
          <w:tcPr>
            <w:tcW w:w="3488" w:type="pct"/>
            <w:gridSpan w:val="5"/>
          </w:tcPr>
          <w:p w14:paraId="39ED8864" w14:textId="4E08F79A" w:rsidR="000B2EA8" w:rsidRPr="00675284" w:rsidRDefault="000B2EA8" w:rsidP="000B2EA8">
            <w:pPr>
              <w:jc w:val="both"/>
              <w:rPr>
                <w:rFonts w:ascii="Garamond" w:eastAsia="MS Mincho" w:hAnsi="Garamond"/>
                <w:i/>
                <w:color w:val="000000" w:themeColor="text1"/>
                <w:sz w:val="22"/>
                <w:szCs w:val="22"/>
                <w:lang w:val="en-US"/>
              </w:rPr>
            </w:pP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t>Oral examination.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Students will be also given the opportunity to hold presentations during the courses.</w:t>
            </w: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br/>
              <w:t xml:space="preserve">-The examination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schedule</w:t>
            </w: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t xml:space="preserve"> is published on the site of the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t>Degree Course and on Esse3.</w:t>
            </w:r>
            <w:r w:rsidRPr="003E7EFC">
              <w:rPr>
                <w:rFonts w:ascii="Garamond" w:hAnsi="Garamond"/>
                <w:sz w:val="22"/>
                <w:szCs w:val="22"/>
                <w:lang w:val="en-US"/>
              </w:rPr>
              <w:br/>
              <w:t xml:space="preserve">- </w:t>
            </w: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 xml:space="preserve">To register for the examination, access to the Esse3 system is binding. </w:t>
            </w:r>
          </w:p>
        </w:tc>
      </w:tr>
      <w:tr w:rsidR="000B2EA8" w:rsidRPr="00256891" w14:paraId="14357DFE" w14:textId="77777777" w:rsidTr="00675284">
        <w:trPr>
          <w:trHeight w:val="70"/>
        </w:trPr>
        <w:tc>
          <w:tcPr>
            <w:tcW w:w="1512" w:type="pct"/>
            <w:gridSpan w:val="3"/>
            <w:shd w:val="clear" w:color="auto" w:fill="FFFFFF"/>
          </w:tcPr>
          <w:p w14:paraId="635DD183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  <w:t xml:space="preserve">Assessment criteria </w:t>
            </w:r>
          </w:p>
        </w:tc>
        <w:tc>
          <w:tcPr>
            <w:tcW w:w="3488" w:type="pct"/>
            <w:gridSpan w:val="5"/>
          </w:tcPr>
          <w:p w14:paraId="240EA5D2" w14:textId="77777777" w:rsidR="000B2EA8" w:rsidRDefault="000B2EA8" w:rsidP="000B2EA8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Students are expected to:</w:t>
            </w: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br/>
              <w:t>show their ability to contextualize the key topics under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 xml:space="preserve">examination within the relevant cultural, literary and historical framework, and to discuss their significance in contemporary </w:t>
            </w:r>
            <w:proofErr w:type="gramStart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culture;</w:t>
            </w:r>
            <w:proofErr w:type="gramEnd"/>
          </w:p>
          <w:p w14:paraId="4868DD81" w14:textId="77777777" w:rsidR="000B2EA8" w:rsidRDefault="000B2EA8" w:rsidP="000B2EA8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br/>
              <w:t xml:space="preserve">to </w:t>
            </w:r>
            <w:proofErr w:type="spellStart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analyse</w:t>
            </w:r>
            <w:proofErr w:type="spellEnd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 xml:space="preserve"> the literary and non-literary texts under examination, and to </w:t>
            </w:r>
            <w:proofErr w:type="spellStart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recognise</w:t>
            </w:r>
            <w:proofErr w:type="spellEnd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 xml:space="preserve"> their relevant features, as well as discuss their content and </w:t>
            </w:r>
            <w:proofErr w:type="gramStart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ideology;</w:t>
            </w:r>
            <w:proofErr w:type="gramEnd"/>
          </w:p>
          <w:p w14:paraId="67306EC8" w14:textId="77777777" w:rsidR="000B2EA8" w:rsidRDefault="000B2EA8" w:rsidP="000B2EA8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br/>
              <w:t xml:space="preserve">to </w:t>
            </w:r>
            <w:proofErr w:type="spellStart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analyse</w:t>
            </w:r>
            <w:proofErr w:type="spellEnd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 xml:space="preserve"> and interpret the literary issues under examination as represented in a variety of text </w:t>
            </w:r>
            <w:proofErr w:type="gramStart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types;</w:t>
            </w:r>
            <w:proofErr w:type="gramEnd"/>
          </w:p>
          <w:p w14:paraId="30DC565B" w14:textId="77777777" w:rsidR="000B2EA8" w:rsidRDefault="000B2EA8" w:rsidP="000B2EA8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br/>
              <w:t xml:space="preserve">to convey complex information on topics related to German literary studies and to use appropriate </w:t>
            </w:r>
            <w:proofErr w:type="gramStart"/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t>vocabulary;</w:t>
            </w:r>
            <w:proofErr w:type="gramEnd"/>
          </w:p>
          <w:p w14:paraId="00A34FB5" w14:textId="4816E1AC" w:rsidR="000B2EA8" w:rsidRPr="00675284" w:rsidRDefault="000B2EA8" w:rsidP="000B2EA8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??" w:hAnsi="Garamond" w:cs="ArialMT"/>
                <w:color w:val="000000" w:themeColor="text1"/>
                <w:sz w:val="22"/>
                <w:szCs w:val="22"/>
                <w:lang w:val="en-GB"/>
              </w:rPr>
            </w:pPr>
            <w:r w:rsidRPr="00802E27">
              <w:rPr>
                <w:rFonts w:ascii="Garamond" w:hAnsi="Garamond"/>
                <w:sz w:val="22"/>
                <w:szCs w:val="22"/>
                <w:lang w:val="en-US"/>
              </w:rPr>
              <w:br/>
              <w:t xml:space="preserve">to use different methods and critical tools </w:t>
            </w:r>
          </w:p>
        </w:tc>
      </w:tr>
      <w:tr w:rsidR="000B2EA8" w:rsidRPr="00256891" w14:paraId="09A6B8A3" w14:textId="77777777" w:rsidTr="00675284">
        <w:trPr>
          <w:trHeight w:val="70"/>
        </w:trPr>
        <w:tc>
          <w:tcPr>
            <w:tcW w:w="1512" w:type="pct"/>
            <w:gridSpan w:val="3"/>
            <w:shd w:val="clear" w:color="auto" w:fill="FFFFFF"/>
          </w:tcPr>
          <w:p w14:paraId="632F2555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</w:pPr>
            <w:r w:rsidRPr="00675284"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  <w:t>Final exam and grading criteria</w:t>
            </w:r>
          </w:p>
        </w:tc>
        <w:tc>
          <w:tcPr>
            <w:tcW w:w="3488" w:type="pct"/>
            <w:gridSpan w:val="5"/>
          </w:tcPr>
          <w:p w14:paraId="1E9AB7CE" w14:textId="13C981EE" w:rsidR="000B2EA8" w:rsidRPr="00FF405E" w:rsidRDefault="000B2EA8" w:rsidP="000B2EA8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>The performance of the students will be assessed through oral exams. The oral colloquium is usually conducted between a candidate and an examiner and consists of a series of questions on each of the course topics (I. the course subject; II. German literary history). It is designed to evaluate the critical skills and methodological knowledge gained by the student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, also by </w:t>
            </w:r>
            <w:proofErr w:type="gramStart"/>
            <w:r>
              <w:rPr>
                <w:rFonts w:ascii="Garamond" w:hAnsi="Garamond"/>
                <w:sz w:val="22"/>
                <w:szCs w:val="22"/>
                <w:lang w:val="en-US"/>
              </w:rPr>
              <w:t>taking into account</w:t>
            </w:r>
            <w:proofErr w:type="gramEnd"/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the discussion of papers presented during the course sessions</w:t>
            </w: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308A2058" w14:textId="77777777" w:rsidR="000B2EA8" w:rsidRPr="00FF405E" w:rsidRDefault="000B2EA8" w:rsidP="000B2EA8">
            <w:pPr>
              <w:contextualSpacing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>The performance assessment uses a grading scale from 1/30 to a maximum of ‘30/30 cum laude’. The Minimum passing grade is 18/30.</w:t>
            </w:r>
          </w:p>
          <w:p w14:paraId="22B80BBB" w14:textId="69F23982" w:rsidR="000B2EA8" w:rsidRPr="00675284" w:rsidRDefault="000B2EA8" w:rsidP="000B2EA8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eastAsia="MS ??" w:hAnsi="Garamond" w:cs="Cambria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 xml:space="preserve">Reaching a clear view of all the course topics as well as using a correct language terminology will be valued with maximum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score</w:t>
            </w: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 xml:space="preserve">. In the event of a full grade (30/30), the Examination Board may grant </w:t>
            </w:r>
            <w:proofErr w:type="spellStart"/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>honours</w:t>
            </w:r>
            <w:proofErr w:type="spellEnd"/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 xml:space="preserve"> (lode). Mnemonic knowledge of the course topics or not completely appropriate terminology will be valued with intermediate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scores</w:t>
            </w: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 xml:space="preserve">. Unknown topics or inappropriate terminology use will be valued, depending on the seriousness of the omissions, with minimal or insufficient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scores</w:t>
            </w: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</w:tc>
      </w:tr>
      <w:tr w:rsidR="000B2EA8" w:rsidRPr="00675284" w14:paraId="3AF0CE43" w14:textId="77777777" w:rsidTr="00675284">
        <w:trPr>
          <w:trHeight w:val="70"/>
        </w:trPr>
        <w:tc>
          <w:tcPr>
            <w:tcW w:w="1512" w:type="pct"/>
            <w:gridSpan w:val="3"/>
            <w:shd w:val="clear" w:color="auto" w:fill="B2A1C7"/>
          </w:tcPr>
          <w:p w14:paraId="5C06056D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  <w:lang w:val="en-GB"/>
              </w:rPr>
            </w:pPr>
            <w:r w:rsidRPr="00675284">
              <w:rPr>
                <w:rFonts w:ascii="Garamond" w:eastAsia="MS ??" w:hAnsi="Garamond" w:cs="Cambria"/>
                <w:b/>
                <w:color w:val="000000" w:themeColor="text1"/>
                <w:sz w:val="22"/>
                <w:szCs w:val="22"/>
                <w:lang w:val="en-GB"/>
              </w:rPr>
              <w:t>Further information</w:t>
            </w:r>
          </w:p>
        </w:tc>
        <w:tc>
          <w:tcPr>
            <w:tcW w:w="3488" w:type="pct"/>
            <w:gridSpan w:val="5"/>
          </w:tcPr>
          <w:p w14:paraId="6E0B19FC" w14:textId="77777777" w:rsidR="000B2EA8" w:rsidRPr="00675284" w:rsidRDefault="000B2EA8" w:rsidP="000B2EA8">
            <w:pPr>
              <w:overflowPunct/>
              <w:rPr>
                <w:rFonts w:ascii="Garamond" w:eastAsia="MS ??" w:hAnsi="Garamond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B2EA8" w:rsidRPr="00256891" w14:paraId="6D0204DA" w14:textId="77777777" w:rsidTr="00675284">
        <w:trPr>
          <w:trHeight w:val="70"/>
        </w:trPr>
        <w:tc>
          <w:tcPr>
            <w:tcW w:w="1512" w:type="pct"/>
            <w:gridSpan w:val="3"/>
            <w:shd w:val="clear" w:color="auto" w:fill="FFFFFF"/>
          </w:tcPr>
          <w:p w14:paraId="4325A19A" w14:textId="77777777" w:rsidR="000B2EA8" w:rsidRPr="00675284" w:rsidRDefault="000B2EA8" w:rsidP="000B2EA8">
            <w:pPr>
              <w:overflowPunct/>
              <w:autoSpaceDE/>
              <w:autoSpaceDN/>
              <w:adjustRightInd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88" w:type="pct"/>
            <w:gridSpan w:val="5"/>
          </w:tcPr>
          <w:p w14:paraId="15B572CE" w14:textId="643ED977" w:rsidR="000B2EA8" w:rsidRPr="00675284" w:rsidRDefault="000B2EA8" w:rsidP="000B2EA8">
            <w:pPr>
              <w:overflowPunct/>
              <w:autoSpaceDE/>
              <w:autoSpaceDN/>
              <w:adjustRightInd/>
              <w:jc w:val="both"/>
              <w:rPr>
                <w:rFonts w:ascii="Garamond" w:eastAsia="MS ??" w:hAnsi="Garamond" w:cs="Cambria"/>
                <w:color w:val="000000" w:themeColor="text1"/>
                <w:sz w:val="22"/>
                <w:szCs w:val="22"/>
                <w:lang w:val="en-GB"/>
              </w:rPr>
            </w:pP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>Office hours are published on the teacher’s web page.</w:t>
            </w: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br/>
              <w:t>Time schedules are however subject to change. Students are recommended to check the teacher’s web page and the department website for possible variations</w:t>
            </w: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br/>
              <w:t xml:space="preserve">Students </w:t>
            </w:r>
            <w:proofErr w:type="gramStart"/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>experiencing difficulty</w:t>
            </w:r>
            <w:proofErr w:type="gramEnd"/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t xml:space="preserve"> in preparing for the examination may </w:t>
            </w: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lastRenderedPageBreak/>
              <w:t>contact the teacher during his/her office hours or request an appointment by email.</w:t>
            </w:r>
            <w:r w:rsidRPr="00FF405E">
              <w:rPr>
                <w:rFonts w:ascii="Garamond" w:hAnsi="Garamond"/>
                <w:sz w:val="22"/>
                <w:szCs w:val="22"/>
                <w:lang w:val="en-US"/>
              </w:rPr>
              <w:br/>
            </w:r>
          </w:p>
        </w:tc>
      </w:tr>
      <w:bookmarkEnd w:id="0"/>
    </w:tbl>
    <w:p w14:paraId="01810BFF" w14:textId="77777777" w:rsidR="00204535" w:rsidRPr="000C10F5" w:rsidRDefault="00204535" w:rsidP="00204535">
      <w:pPr>
        <w:overflowPunct/>
        <w:spacing w:line="276" w:lineRule="auto"/>
        <w:jc w:val="both"/>
        <w:rPr>
          <w:rFonts w:ascii="Garamond" w:eastAsia="MS ??" w:hAnsi="Garamond" w:cs="Calibri"/>
          <w:b/>
          <w:color w:val="000000" w:themeColor="text1"/>
          <w:sz w:val="22"/>
          <w:szCs w:val="22"/>
          <w:lang w:val="en-US"/>
        </w:rPr>
      </w:pPr>
    </w:p>
    <w:p w14:paraId="4EB5DF39" w14:textId="77777777" w:rsidR="00135543" w:rsidRPr="000C10F5" w:rsidRDefault="00135543" w:rsidP="005E6F26">
      <w:pPr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</w:p>
    <w:sectPr w:rsidR="00135543" w:rsidRPr="000C10F5" w:rsidSect="00E046EA">
      <w:headerReference w:type="default" r:id="rId9"/>
      <w:footerReference w:type="even" r:id="rId10"/>
      <w:footerReference w:type="default" r:id="rId11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EE51" w14:textId="77777777" w:rsidR="00EE0FDE" w:rsidRDefault="00EE0FDE">
      <w:r>
        <w:separator/>
      </w:r>
    </w:p>
  </w:endnote>
  <w:endnote w:type="continuationSeparator" w:id="0">
    <w:p w14:paraId="5906AD54" w14:textId="77777777" w:rsidR="00EE0FDE" w:rsidRDefault="00EE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ajan Pro">
    <w:altName w:val="Georg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654E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4E50E8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105E" w14:textId="77777777" w:rsidR="00A0096A" w:rsidRPr="00AF31DA" w:rsidRDefault="00A0096A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EF55" w14:textId="77777777" w:rsidR="00EE0FDE" w:rsidRDefault="00EE0FDE">
      <w:r>
        <w:separator/>
      </w:r>
    </w:p>
  </w:footnote>
  <w:footnote w:type="continuationSeparator" w:id="0">
    <w:p w14:paraId="214BB524" w14:textId="77777777" w:rsidR="00EE0FDE" w:rsidRDefault="00EE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9A85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4C6BE7" wp14:editId="42D44F57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D7950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77A3E79F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65F9BEBD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39173BCB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B5D9A23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60EEFDD0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B8C113E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77E5AF4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C94F9E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" stroked="f">
              <v:textbox inset="0,0,0,0">
                <w:txbxContent>
                  <w:p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65F48EF3" wp14:editId="721CF204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930C71"/>
    <w:multiLevelType w:val="hybridMultilevel"/>
    <w:tmpl w:val="FC002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1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304515">
    <w:abstractNumId w:val="0"/>
  </w:num>
  <w:num w:numId="2" w16cid:durableId="1673756192">
    <w:abstractNumId w:val="6"/>
  </w:num>
  <w:num w:numId="3" w16cid:durableId="1332181022">
    <w:abstractNumId w:val="14"/>
  </w:num>
  <w:num w:numId="4" w16cid:durableId="277493359">
    <w:abstractNumId w:val="20"/>
  </w:num>
  <w:num w:numId="5" w16cid:durableId="454106921">
    <w:abstractNumId w:val="17"/>
  </w:num>
  <w:num w:numId="6" w16cid:durableId="728112134">
    <w:abstractNumId w:val="19"/>
  </w:num>
  <w:num w:numId="7" w16cid:durableId="1159225976">
    <w:abstractNumId w:val="8"/>
  </w:num>
  <w:num w:numId="8" w16cid:durableId="525945559">
    <w:abstractNumId w:val="4"/>
  </w:num>
  <w:num w:numId="9" w16cid:durableId="156501595">
    <w:abstractNumId w:val="2"/>
  </w:num>
  <w:num w:numId="10" w16cid:durableId="1108310685">
    <w:abstractNumId w:val="16"/>
  </w:num>
  <w:num w:numId="11" w16cid:durableId="415635110">
    <w:abstractNumId w:val="9"/>
  </w:num>
  <w:num w:numId="12" w16cid:durableId="2024892855">
    <w:abstractNumId w:val="15"/>
  </w:num>
  <w:num w:numId="13" w16cid:durableId="281694597">
    <w:abstractNumId w:val="3"/>
  </w:num>
  <w:num w:numId="14" w16cid:durableId="1485508454">
    <w:abstractNumId w:val="18"/>
  </w:num>
  <w:num w:numId="15" w16cid:durableId="1254363368">
    <w:abstractNumId w:val="5"/>
  </w:num>
  <w:num w:numId="16" w16cid:durableId="1664626580">
    <w:abstractNumId w:val="23"/>
  </w:num>
  <w:num w:numId="17" w16cid:durableId="1299720397">
    <w:abstractNumId w:val="10"/>
  </w:num>
  <w:num w:numId="18" w16cid:durableId="1530030297">
    <w:abstractNumId w:val="11"/>
  </w:num>
  <w:num w:numId="19" w16cid:durableId="653533988">
    <w:abstractNumId w:val="7"/>
  </w:num>
  <w:num w:numId="20" w16cid:durableId="476338503">
    <w:abstractNumId w:val="12"/>
  </w:num>
  <w:num w:numId="21" w16cid:durableId="946545866">
    <w:abstractNumId w:val="21"/>
  </w:num>
  <w:num w:numId="22" w16cid:durableId="15430777">
    <w:abstractNumId w:val="22"/>
  </w:num>
  <w:num w:numId="23" w16cid:durableId="119750645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BE0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2EA8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0F5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836"/>
    <w:rsid w:val="00136CA4"/>
    <w:rsid w:val="0013703F"/>
    <w:rsid w:val="0013775B"/>
    <w:rsid w:val="00137868"/>
    <w:rsid w:val="00140CF2"/>
    <w:rsid w:val="001410E9"/>
    <w:rsid w:val="0014122B"/>
    <w:rsid w:val="0014152D"/>
    <w:rsid w:val="00141B58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93C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535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891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1E9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8F4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6FFF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187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2CE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284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364C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391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091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77C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55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1A6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5E8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84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A7E3D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CAB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7E2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579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908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0FDE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CD5DB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character" w:customStyle="1" w:styleId="italic">
    <w:name w:val="italic"/>
    <w:basedOn w:val="Carpredefinitoparagrafo"/>
    <w:rsid w:val="0067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it/docenti/bosco-carmela-lorella-ausil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253E-0032-4E47-B57C-FCE017AB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4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Microsoft Office User</cp:lastModifiedBy>
  <cp:revision>6</cp:revision>
  <cp:lastPrinted>2021-07-08T14:08:00Z</cp:lastPrinted>
  <dcterms:created xsi:type="dcterms:W3CDTF">2024-05-29T16:04:00Z</dcterms:created>
  <dcterms:modified xsi:type="dcterms:W3CDTF">2024-05-29T16:15:00Z</dcterms:modified>
</cp:coreProperties>
</file>